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33E" w:rsidRPr="009F033E" w:rsidRDefault="009F033E" w:rsidP="009F033E">
      <w:pPr>
        <w:shd w:val="clear" w:color="auto" w:fill="FFFFFF"/>
        <w:spacing w:after="150" w:line="240" w:lineRule="atLeast"/>
        <w:outlineLvl w:val="0"/>
        <w:rPr>
          <w:rFonts w:ascii="PTSansNarrowRegular" w:eastAsia="Times New Roman" w:hAnsi="PTSansNarrowRegular" w:cs="Times New Roman"/>
          <w:color w:val="41769F"/>
          <w:kern w:val="36"/>
          <w:sz w:val="60"/>
          <w:szCs w:val="60"/>
          <w:lang w:eastAsia="fr-FR"/>
        </w:rPr>
      </w:pPr>
      <w:r w:rsidRPr="009F033E">
        <w:rPr>
          <w:rFonts w:ascii="PTSansNarrowRegular" w:eastAsia="Times New Roman" w:hAnsi="PTSansNarrowRegular" w:cs="Times New Roman"/>
          <w:color w:val="41769F"/>
          <w:kern w:val="36"/>
          <w:sz w:val="60"/>
          <w:szCs w:val="60"/>
          <w:lang w:eastAsia="fr-FR"/>
        </w:rPr>
        <w:t>Taux moyen de rendement des obligations des sociétés privées</w:t>
      </w:r>
    </w:p>
    <w:p w:rsidR="009F033E" w:rsidRPr="009F033E" w:rsidRDefault="009F033E" w:rsidP="009F033E">
      <w:pPr>
        <w:shd w:val="clear" w:color="auto" w:fill="FFFFFF"/>
        <w:spacing w:before="100" w:beforeAutospacing="1" w:after="100" w:afterAutospacing="1" w:line="240" w:lineRule="auto"/>
        <w:rPr>
          <w:rFonts w:ascii="Arial" w:eastAsia="Times New Roman" w:hAnsi="Arial" w:cs="Arial"/>
          <w:color w:val="000000"/>
          <w:sz w:val="20"/>
          <w:szCs w:val="20"/>
          <w:lang w:eastAsia="fr-FR"/>
        </w:rPr>
      </w:pPr>
      <w:r w:rsidRPr="009F033E">
        <w:rPr>
          <w:rFonts w:ascii="Arial" w:eastAsia="Times New Roman" w:hAnsi="Arial" w:cs="Arial"/>
          <w:color w:val="000000"/>
          <w:sz w:val="20"/>
          <w:szCs w:val="20"/>
          <w:lang w:eastAsia="fr-FR"/>
        </w:rPr>
        <w:t xml:space="preserve">Le Taux moyen de rendement des obligations des sociétés privées (TMO) est le taux moyen de rendement des obligations des sociétés privées émises au cours du semestre précédent. L'article 14 de la loi du 10 septembre 1947 dispose qu'il constitue le taux plafond pour l'intérêt servi par les coopératives à leur capital. Il est également le taux minimum de rémunération des accords de participation. L'accord détermine l'affectation des sommes issues de la participation. Plusieurs affectations sont possibles notamment en compte courant </w:t>
      </w:r>
      <w:proofErr w:type="gramStart"/>
      <w:r w:rsidRPr="009F033E">
        <w:rPr>
          <w:rFonts w:ascii="Arial" w:eastAsia="Times New Roman" w:hAnsi="Arial" w:cs="Arial"/>
          <w:color w:val="000000"/>
          <w:sz w:val="20"/>
          <w:szCs w:val="20"/>
          <w:lang w:eastAsia="fr-FR"/>
        </w:rPr>
        <w:t>bloqué</w:t>
      </w:r>
      <w:proofErr w:type="gramEnd"/>
      <w:r w:rsidRPr="009F033E">
        <w:rPr>
          <w:rFonts w:ascii="Arial" w:eastAsia="Times New Roman" w:hAnsi="Arial" w:cs="Arial"/>
          <w:color w:val="000000"/>
          <w:sz w:val="20"/>
          <w:szCs w:val="20"/>
          <w:lang w:eastAsia="fr-FR"/>
        </w:rPr>
        <w:t xml:space="preserve"> dans l’entreprise, en plan d’épargne entreprise (PEE), en plan d’épargne interentreprises (PEI) ou encore en plan d’épargne pour la retraite collectif (PERCO). Les comptes courants bloqués sont rémunérés à un taux déterminé par l'accord qui ne peut être inférieur au taux moyen des obligations des sociétés privées.</w:t>
      </w:r>
    </w:p>
    <w:p w:rsidR="009F033E" w:rsidRPr="009F033E" w:rsidRDefault="009F033E" w:rsidP="009F033E">
      <w:pPr>
        <w:shd w:val="clear" w:color="auto" w:fill="FFFFFF"/>
        <w:spacing w:after="150" w:line="421" w:lineRule="atLeast"/>
        <w:outlineLvl w:val="1"/>
        <w:rPr>
          <w:rFonts w:ascii="PTSansNarrowRegular" w:eastAsia="Times New Roman" w:hAnsi="PTSansNarrowRegular" w:cs="Arial"/>
          <w:color w:val="004976"/>
          <w:sz w:val="40"/>
          <w:szCs w:val="40"/>
          <w:lang w:eastAsia="fr-FR"/>
        </w:rPr>
      </w:pPr>
      <w:r w:rsidRPr="009F033E">
        <w:rPr>
          <w:rFonts w:ascii="PTSansNarrowRegular" w:eastAsia="Times New Roman" w:hAnsi="PTSansNarrowRegular" w:cs="Arial"/>
          <w:color w:val="004976"/>
          <w:sz w:val="40"/>
          <w:szCs w:val="40"/>
          <w:lang w:eastAsia="fr-FR"/>
        </w:rPr>
        <w:t>Plusieurs affectations sont possibles :</w:t>
      </w:r>
    </w:p>
    <w:p w:rsidR="009F033E" w:rsidRPr="009F033E" w:rsidRDefault="009F033E" w:rsidP="009F033E">
      <w:pPr>
        <w:shd w:val="clear" w:color="auto" w:fill="FFFFFF"/>
        <w:spacing w:before="100" w:beforeAutospacing="1" w:after="100" w:afterAutospacing="1" w:line="240" w:lineRule="auto"/>
        <w:rPr>
          <w:rFonts w:ascii="Arial" w:eastAsia="Times New Roman" w:hAnsi="Arial" w:cs="Arial"/>
          <w:color w:val="000000"/>
          <w:sz w:val="20"/>
          <w:szCs w:val="20"/>
          <w:lang w:eastAsia="fr-FR"/>
        </w:rPr>
      </w:pPr>
      <w:r w:rsidRPr="009F033E">
        <w:rPr>
          <w:rFonts w:ascii="Arial" w:eastAsia="Times New Roman" w:hAnsi="Arial" w:cs="Arial"/>
          <w:color w:val="000000"/>
          <w:sz w:val="20"/>
          <w:szCs w:val="20"/>
          <w:lang w:eastAsia="fr-FR"/>
        </w:rPr>
        <w:t>- acquisition d’actions de l’entreprise ; </w:t>
      </w:r>
      <w:r w:rsidRPr="009F033E">
        <w:rPr>
          <w:rFonts w:ascii="Arial" w:eastAsia="Times New Roman" w:hAnsi="Arial" w:cs="Arial"/>
          <w:color w:val="000000"/>
          <w:sz w:val="20"/>
          <w:szCs w:val="20"/>
          <w:lang w:eastAsia="fr-FR"/>
        </w:rPr>
        <w:br/>
        <w:t>- compte courant bloqué dans l’entreprise ; </w:t>
      </w:r>
      <w:r w:rsidRPr="009F033E">
        <w:rPr>
          <w:rFonts w:ascii="Arial" w:eastAsia="Times New Roman" w:hAnsi="Arial" w:cs="Arial"/>
          <w:color w:val="000000"/>
          <w:sz w:val="20"/>
          <w:szCs w:val="20"/>
          <w:lang w:eastAsia="fr-FR"/>
        </w:rPr>
        <w:br/>
        <w:t>- acquisition de titres de SICAV ; </w:t>
      </w:r>
      <w:r w:rsidRPr="009F033E">
        <w:rPr>
          <w:rFonts w:ascii="Arial" w:eastAsia="Times New Roman" w:hAnsi="Arial" w:cs="Arial"/>
          <w:color w:val="000000"/>
          <w:sz w:val="20"/>
          <w:szCs w:val="20"/>
          <w:lang w:eastAsia="fr-FR"/>
        </w:rPr>
        <w:br/>
        <w:t>- acquisition de parts de Fonds Communs de Placement d’Entreprise ; </w:t>
      </w:r>
      <w:r w:rsidRPr="009F033E">
        <w:rPr>
          <w:rFonts w:ascii="Arial" w:eastAsia="Times New Roman" w:hAnsi="Arial" w:cs="Arial"/>
          <w:color w:val="000000"/>
          <w:sz w:val="20"/>
          <w:szCs w:val="20"/>
          <w:lang w:eastAsia="fr-FR"/>
        </w:rPr>
        <w:br/>
        <w:t>- PEE, PEI ou PPESV,</w:t>
      </w:r>
      <w:r w:rsidRPr="009F033E">
        <w:rPr>
          <w:rFonts w:ascii="Arial" w:eastAsia="Times New Roman" w:hAnsi="Arial" w:cs="Arial"/>
          <w:color w:val="000000"/>
          <w:sz w:val="20"/>
          <w:szCs w:val="20"/>
          <w:lang w:eastAsia="fr-FR"/>
        </w:rPr>
        <w:br/>
        <w:t>- souscription d’actions des sociétés créées par les salariés en vue de la reprise de leur entreprise. </w:t>
      </w:r>
      <w:r w:rsidRPr="009F033E">
        <w:rPr>
          <w:rFonts w:ascii="Arial" w:eastAsia="Times New Roman" w:hAnsi="Arial" w:cs="Arial"/>
          <w:color w:val="000000"/>
          <w:sz w:val="20"/>
          <w:szCs w:val="20"/>
          <w:lang w:eastAsia="fr-FR"/>
        </w:rPr>
        <w:br/>
        <w:t>Les comptes courants bloqués sont rémunérés à un taux déterminé par l'accord qui ne peut être inférieur au taux moyen des obligations des sociétés privées.</w:t>
      </w:r>
    </w:p>
    <w:tbl>
      <w:tblPr>
        <w:tblW w:w="0" w:type="auto"/>
        <w:tblInd w:w="300" w:type="dxa"/>
        <w:tblBorders>
          <w:top w:val="single" w:sz="6" w:space="0" w:color="6699CC"/>
          <w:left w:val="single" w:sz="6" w:space="0" w:color="6699CC"/>
          <w:bottom w:val="single" w:sz="6" w:space="0" w:color="6699CC"/>
          <w:right w:val="single" w:sz="6" w:space="0" w:color="6699CC"/>
        </w:tblBorders>
        <w:tblCellMar>
          <w:top w:w="15" w:type="dxa"/>
          <w:left w:w="15" w:type="dxa"/>
          <w:bottom w:w="15" w:type="dxa"/>
          <w:right w:w="15" w:type="dxa"/>
        </w:tblCellMar>
        <w:tblLook w:val="04A0" w:firstRow="1" w:lastRow="0" w:firstColumn="1" w:lastColumn="0" w:noHBand="0" w:noVBand="1"/>
        <w:tblDescription w:val="Tableau des TMO"/>
      </w:tblPr>
      <w:tblGrid>
        <w:gridCol w:w="1502"/>
        <w:gridCol w:w="2928"/>
        <w:gridCol w:w="1291"/>
        <w:gridCol w:w="3035"/>
      </w:tblGrid>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150" w:line="240" w:lineRule="auto"/>
              <w:outlineLvl w:val="2"/>
              <w:rPr>
                <w:rFonts w:ascii="PTSansNarrowRegular" w:eastAsia="Times New Roman" w:hAnsi="PTSansNarrowRegular" w:cs="Times New Roman"/>
                <w:color w:val="126F7F"/>
                <w:sz w:val="38"/>
                <w:szCs w:val="38"/>
                <w:lang w:eastAsia="fr-FR"/>
              </w:rPr>
            </w:pPr>
            <w:r w:rsidRPr="009F033E">
              <w:rPr>
                <w:rFonts w:ascii="PTSansNarrowRegular" w:eastAsia="Times New Roman" w:hAnsi="PTSansNarrowRegular" w:cs="Times New Roman"/>
                <w:color w:val="126F7F"/>
                <w:sz w:val="38"/>
                <w:szCs w:val="38"/>
                <w:lang w:eastAsia="fr-FR"/>
              </w:rPr>
              <w:t>Année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150" w:line="240" w:lineRule="auto"/>
              <w:outlineLvl w:val="2"/>
              <w:rPr>
                <w:rFonts w:ascii="PTSansNarrowRegular" w:eastAsia="Times New Roman" w:hAnsi="PTSansNarrowRegular" w:cs="Times New Roman"/>
                <w:color w:val="126F7F"/>
                <w:sz w:val="38"/>
                <w:szCs w:val="38"/>
                <w:lang w:eastAsia="fr-FR"/>
              </w:rPr>
            </w:pPr>
            <w:r w:rsidRPr="009F033E">
              <w:rPr>
                <w:rFonts w:ascii="PTSansNarrowRegular" w:eastAsia="Times New Roman" w:hAnsi="PTSansNarrowRegular" w:cs="Times New Roman"/>
                <w:color w:val="126F7F"/>
                <w:sz w:val="38"/>
                <w:szCs w:val="38"/>
                <w:lang w:eastAsia="fr-FR"/>
              </w:rPr>
              <w:t>Semestre de publication</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150" w:line="240" w:lineRule="auto"/>
              <w:outlineLvl w:val="2"/>
              <w:rPr>
                <w:rFonts w:ascii="PTSansNarrowRegular" w:eastAsia="Times New Roman" w:hAnsi="PTSansNarrowRegular" w:cs="Times New Roman"/>
                <w:color w:val="126F7F"/>
                <w:sz w:val="38"/>
                <w:szCs w:val="38"/>
                <w:lang w:eastAsia="fr-FR"/>
              </w:rPr>
            </w:pPr>
            <w:r w:rsidRPr="009F033E">
              <w:rPr>
                <w:rFonts w:ascii="PTSansNarrowRegular" w:eastAsia="Times New Roman" w:hAnsi="PTSansNarrowRegular" w:cs="Times New Roman"/>
                <w:color w:val="126F7F"/>
                <w:sz w:val="38"/>
                <w:szCs w:val="38"/>
                <w:lang w:eastAsia="fr-FR"/>
              </w:rPr>
              <w:t>Taux</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150" w:line="240" w:lineRule="auto"/>
              <w:outlineLvl w:val="2"/>
              <w:rPr>
                <w:rFonts w:ascii="PTSansNarrowRegular" w:eastAsia="Times New Roman" w:hAnsi="PTSansNarrowRegular" w:cs="Times New Roman"/>
                <w:color w:val="126F7F"/>
                <w:sz w:val="38"/>
                <w:szCs w:val="38"/>
                <w:lang w:eastAsia="fr-FR"/>
              </w:rPr>
            </w:pPr>
            <w:r w:rsidRPr="009F033E">
              <w:rPr>
                <w:rFonts w:ascii="PTSansNarrowRegular" w:eastAsia="Times New Roman" w:hAnsi="PTSansNarrowRegular" w:cs="Times New Roman"/>
                <w:color w:val="126F7F"/>
                <w:sz w:val="38"/>
                <w:szCs w:val="38"/>
                <w:lang w:eastAsia="fr-FR"/>
              </w:rPr>
              <w:t>Date de publication au JO</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b/>
                <w:bCs/>
                <w:color w:val="666699"/>
                <w:sz w:val="24"/>
                <w:szCs w:val="24"/>
                <w:lang w:eastAsia="fr-FR"/>
              </w:rPr>
              <w:t> 2016</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b/>
                <w:bCs/>
                <w:color w:val="666699"/>
                <w:sz w:val="24"/>
                <w:szCs w:val="24"/>
                <w:lang w:eastAsia="fr-FR"/>
              </w:rPr>
              <w:t> 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b/>
                <w:bCs/>
                <w:color w:val="666699"/>
                <w:sz w:val="24"/>
                <w:szCs w:val="24"/>
                <w:lang w:eastAsia="fr-FR"/>
              </w:rPr>
              <w:t>0,80 %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b/>
                <w:bCs/>
                <w:color w:val="666699"/>
                <w:sz w:val="24"/>
                <w:szCs w:val="24"/>
                <w:lang w:eastAsia="fr-FR"/>
              </w:rPr>
              <w:t>14 juillet 2016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 2015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 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1,19%</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14 janvier 2016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 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0,96%</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16 septembre 2015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2014</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6 mars 2015</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2014</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2,28%</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 septembre 2014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2013</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2,62%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11 février 2014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2013</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2,3%</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17 juillet 2013</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2012</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2,41%</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15 janvier 2013 </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2012</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3,15%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8 juillet 2012</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2011</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3,36 %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14 janvier 2012</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2011</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3,80 %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19 juillet 2011</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lastRenderedPageBreak/>
              <w:t>2010</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3,17 %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18 janvier 2011</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2010</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3,59 %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 juillet 2010</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2009</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3,82 %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6 janvier 2010</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2009</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3,97 %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 juillet 2009</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2008</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4,46 %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14 janvier 2009</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2008</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4,54 %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8 juillet 2008</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2007</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4,65 %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13 janvier 2008</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2007</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4,47 %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12 juillet 2007</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2006</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4,11 %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13 janvier 2007</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2006</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4,00 %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12 juillet 2006</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3,56 %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15 janvier 2006</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2005</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3,79 %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12 juillet 2005</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2004</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4,26 %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19 janvier 2005</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2004</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4,47 %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16 juillet 2004</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2003</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4,51 %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16 janvier 2004</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2003</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4,29 %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19 juillet 2003</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2002</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4,88 %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10 janvier 2003</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2002</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5,40 %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5 juillet 2002</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2001</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deuxième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5,05 %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18 janvier 2002</w:t>
            </w:r>
          </w:p>
        </w:tc>
      </w:tr>
      <w:tr w:rsidR="009F033E" w:rsidRPr="009F033E" w:rsidTr="009F033E">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2001</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premier semestre</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5,37 %</w:t>
            </w:r>
          </w:p>
        </w:tc>
        <w:tc>
          <w:tcPr>
            <w:tcW w:w="0" w:type="auto"/>
            <w:tcBorders>
              <w:top w:val="nil"/>
              <w:bottom w:val="single" w:sz="6" w:space="0" w:color="6699CC"/>
              <w:right w:val="single" w:sz="6" w:space="0" w:color="6699CC"/>
            </w:tcBorders>
            <w:tcMar>
              <w:top w:w="105" w:type="dxa"/>
              <w:left w:w="255" w:type="dxa"/>
              <w:bottom w:w="105" w:type="dxa"/>
              <w:right w:w="255" w:type="dxa"/>
            </w:tcMar>
            <w:vAlign w:val="center"/>
            <w:hideMark/>
          </w:tcPr>
          <w:p w:rsidR="009F033E" w:rsidRPr="009F033E" w:rsidRDefault="009F033E" w:rsidP="009F033E">
            <w:pPr>
              <w:spacing w:after="0" w:line="240" w:lineRule="auto"/>
              <w:jc w:val="right"/>
              <w:rPr>
                <w:rFonts w:ascii="Times New Roman" w:eastAsia="Times New Roman" w:hAnsi="Times New Roman" w:cs="Times New Roman"/>
                <w:color w:val="666699"/>
                <w:sz w:val="24"/>
                <w:szCs w:val="24"/>
                <w:lang w:eastAsia="fr-FR"/>
              </w:rPr>
            </w:pPr>
            <w:r w:rsidRPr="009F033E">
              <w:rPr>
                <w:rFonts w:ascii="Times New Roman" w:eastAsia="Times New Roman" w:hAnsi="Times New Roman" w:cs="Times New Roman"/>
                <w:color w:val="666699"/>
                <w:sz w:val="24"/>
                <w:szCs w:val="24"/>
                <w:lang w:eastAsia="fr-FR"/>
              </w:rPr>
              <w:t>14 juillet 2001</w:t>
            </w:r>
          </w:p>
        </w:tc>
      </w:tr>
    </w:tbl>
    <w:p w:rsidR="009F033E" w:rsidRDefault="009F033E">
      <w:bookmarkStart w:id="0" w:name="_GoBack"/>
      <w:bookmarkEnd w:id="0"/>
    </w:p>
    <w:sectPr w:rsidR="009F03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TSansNarrow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33E"/>
    <w:rsid w:val="008F0EFC"/>
    <w:rsid w:val="009F03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E57D5-B852-462F-B2AF-F6C1FC56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6123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451</Words>
  <Characters>2483</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2016-10-03T15:09:00Z</dcterms:created>
  <dcterms:modified xsi:type="dcterms:W3CDTF">2016-10-03T15:09:00Z</dcterms:modified>
</cp:coreProperties>
</file>