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3C0" w:rsidRDefault="008D3C66" w:rsidP="002F679C">
      <w:pPr>
        <w:jc w:val="both"/>
        <w:rPr>
          <w:rFonts w:ascii="Calibri" w:eastAsia="Calibri" w:hAnsi="Calibri"/>
          <w:bCs/>
          <w:sz w:val="22"/>
          <w:szCs w:val="22"/>
          <w:lang w:eastAsia="en-US"/>
        </w:rPr>
      </w:pPr>
      <w:r w:rsidRPr="0020349D">
        <w:rPr>
          <w:rFonts w:ascii="Calibri" w:hAnsi="Calibri" w:cs="Calibri"/>
          <w:sz w:val="22"/>
          <w:szCs w:val="22"/>
        </w:rPr>
        <w:pict>
          <v:shapetype id="_x0000_t202" coordsize="21600,21600" o:spt="202" path="m,l,21600r21600,l21600,xe">
            <v:stroke joinstyle="miter"/>
            <v:path gradientshapeok="t" o:connecttype="rect"/>
          </v:shapetype>
          <v:shape id="_x0000_s1039" type="#_x0000_t202" style="position:absolute;left:0;text-align:left;margin-left:-4.35pt;margin-top:-55.6pt;width:425.2pt;height:34.95pt;z-index:251657728" filled="f" strokecolor="#6b196a" strokeweight="1pt">
            <v:textbox style="mso-next-textbox:#_x0000_s1039">
              <w:txbxContent>
                <w:p w:rsidR="00C35320" w:rsidRPr="00413FA1" w:rsidRDefault="00162B6C" w:rsidP="00BE3E58">
                  <w:pPr>
                    <w:jc w:val="center"/>
                    <w:rPr>
                      <w:rFonts w:ascii="Calibri Bold" w:hAnsi="Calibri Bold"/>
                      <w:color w:val="922790"/>
                      <w:sz w:val="26"/>
                      <w:szCs w:val="26"/>
                    </w:rPr>
                  </w:pPr>
                  <w:r>
                    <w:rPr>
                      <w:rFonts w:ascii="Calibri Bold" w:hAnsi="Calibri Bold"/>
                      <w:color w:val="922790"/>
                      <w:sz w:val="26"/>
                      <w:szCs w:val="26"/>
                    </w:rPr>
                    <w:t>Accord de branche sur les forfaits en jours pour les cadres</w:t>
                  </w:r>
                </w:p>
                <w:p w:rsidR="00C35320" w:rsidRPr="00C35320" w:rsidRDefault="00C35320" w:rsidP="00C35320">
                  <w:pPr>
                    <w:spacing w:after="200" w:line="276" w:lineRule="auto"/>
                    <w:jc w:val="both"/>
                    <w:rPr>
                      <w:rFonts w:ascii="Calibri" w:eastAsia="Calibri" w:hAnsi="Calibri"/>
                      <w:b/>
                      <w:szCs w:val="22"/>
                      <w:lang w:eastAsia="en-US"/>
                    </w:rPr>
                  </w:pPr>
                </w:p>
                <w:p w:rsidR="00251082" w:rsidRPr="00DD0636" w:rsidRDefault="00251082" w:rsidP="00685118">
                  <w:pPr>
                    <w:jc w:val="both"/>
                    <w:rPr>
                      <w:rFonts w:ascii="Calibri Bold" w:hAnsi="Calibri Bold"/>
                      <w:color w:val="922790"/>
                      <w:sz w:val="26"/>
                      <w:szCs w:val="26"/>
                    </w:rPr>
                  </w:pPr>
                </w:p>
              </w:txbxContent>
            </v:textbox>
          </v:shape>
        </w:pict>
      </w:r>
      <w:r w:rsidR="00F833C0">
        <w:rPr>
          <w:rFonts w:ascii="Calibri" w:eastAsia="Calibri" w:hAnsi="Calibri"/>
          <w:bCs/>
          <w:sz w:val="22"/>
          <w:szCs w:val="22"/>
          <w:lang w:eastAsia="en-US"/>
        </w:rPr>
        <w:t xml:space="preserve">Par l’accord </w:t>
      </w:r>
      <w:r w:rsidR="002F679C">
        <w:rPr>
          <w:rFonts w:ascii="Calibri" w:eastAsia="Calibri" w:hAnsi="Calibri"/>
          <w:bCs/>
          <w:sz w:val="22"/>
          <w:szCs w:val="22"/>
          <w:lang w:eastAsia="en-US"/>
        </w:rPr>
        <w:t>de branche sur les forfaits jours</w:t>
      </w:r>
      <w:r w:rsidR="005B5DE2">
        <w:rPr>
          <w:rFonts w:ascii="Calibri" w:eastAsia="Calibri" w:hAnsi="Calibri"/>
          <w:bCs/>
          <w:sz w:val="22"/>
          <w:szCs w:val="22"/>
          <w:lang w:eastAsia="en-US"/>
        </w:rPr>
        <w:t>,</w:t>
      </w:r>
      <w:r w:rsidR="002F679C">
        <w:rPr>
          <w:rFonts w:ascii="Calibri" w:eastAsia="Calibri" w:hAnsi="Calibri"/>
          <w:bCs/>
          <w:sz w:val="22"/>
          <w:szCs w:val="22"/>
          <w:lang w:eastAsia="en-US"/>
        </w:rPr>
        <w:t xml:space="preserve"> </w:t>
      </w:r>
      <w:r w:rsidR="00F833C0">
        <w:rPr>
          <w:rFonts w:ascii="Calibri" w:eastAsia="Calibri" w:hAnsi="Calibri"/>
          <w:bCs/>
          <w:sz w:val="22"/>
          <w:szCs w:val="22"/>
          <w:lang w:eastAsia="en-US"/>
        </w:rPr>
        <w:t xml:space="preserve">signé le 11 juillet 2013 entre </w:t>
      </w:r>
      <w:r w:rsidR="002F679C">
        <w:rPr>
          <w:rFonts w:ascii="Calibri" w:eastAsia="Calibri" w:hAnsi="Calibri"/>
          <w:bCs/>
          <w:sz w:val="22"/>
          <w:szCs w:val="22"/>
          <w:lang w:eastAsia="en-US"/>
        </w:rPr>
        <w:t xml:space="preserve">la CCVF et </w:t>
      </w:r>
      <w:r w:rsidR="002F679C" w:rsidRPr="002F679C">
        <w:rPr>
          <w:rFonts w:ascii="Calibri" w:eastAsia="Calibri" w:hAnsi="Calibri"/>
          <w:bCs/>
          <w:sz w:val="22"/>
          <w:szCs w:val="22"/>
          <w:lang w:eastAsia="en-US"/>
        </w:rPr>
        <w:t>la FGTA-FO, l’UNSA-2A</w:t>
      </w:r>
      <w:r w:rsidR="002F679C">
        <w:rPr>
          <w:rFonts w:ascii="Calibri" w:eastAsia="Calibri" w:hAnsi="Calibri"/>
          <w:bCs/>
          <w:sz w:val="22"/>
          <w:szCs w:val="22"/>
          <w:lang w:eastAsia="en-US"/>
        </w:rPr>
        <w:t>, la CFTC-AGRI</w:t>
      </w:r>
      <w:r w:rsidR="002F679C" w:rsidRPr="002F679C">
        <w:rPr>
          <w:rFonts w:ascii="Calibri" w:eastAsia="Calibri" w:hAnsi="Calibri"/>
          <w:bCs/>
          <w:sz w:val="22"/>
          <w:szCs w:val="22"/>
          <w:lang w:eastAsia="en-US"/>
        </w:rPr>
        <w:t xml:space="preserve"> et le SNCOA-CFE-CGC</w:t>
      </w:r>
      <w:r w:rsidR="002F679C">
        <w:rPr>
          <w:rFonts w:ascii="Calibri" w:eastAsia="Calibri" w:hAnsi="Calibri"/>
          <w:bCs/>
          <w:sz w:val="22"/>
          <w:szCs w:val="22"/>
          <w:lang w:eastAsia="en-US"/>
        </w:rPr>
        <w:t xml:space="preserve">, </w:t>
      </w:r>
      <w:r w:rsidR="002F679C" w:rsidRPr="002F679C">
        <w:rPr>
          <w:rFonts w:ascii="Calibri" w:eastAsia="Calibri" w:hAnsi="Calibri"/>
          <w:bCs/>
          <w:sz w:val="22"/>
          <w:szCs w:val="22"/>
          <w:lang w:eastAsia="en-US"/>
        </w:rPr>
        <w:t>les p</w:t>
      </w:r>
      <w:r w:rsidR="002F679C">
        <w:rPr>
          <w:rFonts w:ascii="Calibri" w:eastAsia="Calibri" w:hAnsi="Calibri"/>
          <w:bCs/>
          <w:sz w:val="22"/>
          <w:szCs w:val="22"/>
          <w:lang w:eastAsia="en-US"/>
        </w:rPr>
        <w:t xml:space="preserve">artenaires sociaux ont fixé un cadre </w:t>
      </w:r>
      <w:r w:rsidR="005B5DE2">
        <w:rPr>
          <w:rFonts w:ascii="Calibri" w:eastAsia="Calibri" w:hAnsi="Calibri"/>
          <w:bCs/>
          <w:sz w:val="22"/>
          <w:szCs w:val="22"/>
          <w:lang w:eastAsia="en-US"/>
        </w:rPr>
        <w:t xml:space="preserve">collectif </w:t>
      </w:r>
      <w:r w:rsidR="002F679C">
        <w:rPr>
          <w:rFonts w:ascii="Calibri" w:eastAsia="Calibri" w:hAnsi="Calibri"/>
          <w:bCs/>
          <w:sz w:val="22"/>
          <w:szCs w:val="22"/>
          <w:lang w:eastAsia="en-US"/>
        </w:rPr>
        <w:t>pour les structures ne disposant pas d’accord d’entreprise</w:t>
      </w:r>
      <w:r w:rsidR="005B5DE2">
        <w:rPr>
          <w:rFonts w:ascii="Calibri" w:eastAsia="Calibri" w:hAnsi="Calibri"/>
          <w:bCs/>
          <w:sz w:val="22"/>
          <w:szCs w:val="22"/>
          <w:lang w:eastAsia="en-US"/>
        </w:rPr>
        <w:t xml:space="preserve">, leur permettant désormais de recourir à des conventions individuelles de forfait en jours </w:t>
      </w:r>
      <w:r w:rsidR="005B5DE2" w:rsidRPr="008B7144">
        <w:rPr>
          <w:rFonts w:ascii="Calibri" w:eastAsia="Calibri" w:hAnsi="Calibri"/>
          <w:b/>
          <w:bCs/>
          <w:sz w:val="22"/>
          <w:szCs w:val="22"/>
          <w:u w:val="single"/>
          <w:lang w:eastAsia="en-US"/>
        </w:rPr>
        <w:t>pour les salariés cadres</w:t>
      </w:r>
      <w:r w:rsidR="005B5DE2">
        <w:rPr>
          <w:rFonts w:ascii="Calibri" w:eastAsia="Calibri" w:hAnsi="Calibri"/>
          <w:bCs/>
          <w:sz w:val="22"/>
          <w:szCs w:val="22"/>
          <w:lang w:eastAsia="en-US"/>
        </w:rPr>
        <w:t>.</w:t>
      </w:r>
    </w:p>
    <w:p w:rsidR="00F833C0" w:rsidRDefault="00F833C0" w:rsidP="00162B6C">
      <w:pPr>
        <w:jc w:val="both"/>
        <w:rPr>
          <w:rFonts w:ascii="Calibri" w:eastAsia="Calibri" w:hAnsi="Calibri"/>
          <w:bCs/>
          <w:sz w:val="22"/>
          <w:szCs w:val="22"/>
          <w:lang w:eastAsia="en-US"/>
        </w:rPr>
      </w:pPr>
    </w:p>
    <w:p w:rsidR="005B5DE2" w:rsidRDefault="005B5DE2" w:rsidP="005B5DE2">
      <w:pPr>
        <w:jc w:val="both"/>
        <w:rPr>
          <w:rFonts w:ascii="Calibri" w:eastAsia="Calibri" w:hAnsi="Calibri"/>
          <w:bCs/>
          <w:sz w:val="22"/>
          <w:szCs w:val="22"/>
          <w:lang w:eastAsia="en-US"/>
        </w:rPr>
      </w:pPr>
      <w:r>
        <w:rPr>
          <w:rFonts w:ascii="Calibri" w:eastAsia="Calibri" w:hAnsi="Calibri"/>
          <w:bCs/>
          <w:sz w:val="22"/>
          <w:szCs w:val="22"/>
          <w:lang w:eastAsia="en-US"/>
        </w:rPr>
        <w:t>Cette</w:t>
      </w:r>
      <w:r w:rsidRPr="005B5DE2">
        <w:rPr>
          <w:rFonts w:ascii="Calibri" w:eastAsia="Calibri" w:hAnsi="Calibri"/>
          <w:bCs/>
          <w:sz w:val="22"/>
          <w:szCs w:val="22"/>
          <w:lang w:eastAsia="en-US"/>
        </w:rPr>
        <w:t xml:space="preserve"> circulaire pr</w:t>
      </w:r>
      <w:r>
        <w:rPr>
          <w:rFonts w:ascii="Calibri" w:eastAsia="Calibri" w:hAnsi="Calibri"/>
          <w:bCs/>
          <w:sz w:val="22"/>
          <w:szCs w:val="22"/>
          <w:lang w:eastAsia="en-US"/>
        </w:rPr>
        <w:t>ésente le contenu de cet accord, et les modalités pratiques de sa déclinaison au sein des entreprises.</w:t>
      </w:r>
    </w:p>
    <w:p w:rsidR="005B5DE2" w:rsidRPr="005B5DE2" w:rsidRDefault="005B5DE2" w:rsidP="005B5DE2">
      <w:pPr>
        <w:jc w:val="both"/>
        <w:rPr>
          <w:rFonts w:ascii="Calibri" w:eastAsia="Calibri" w:hAnsi="Calibri"/>
          <w:bCs/>
          <w:sz w:val="22"/>
          <w:szCs w:val="22"/>
          <w:lang w:eastAsia="en-US"/>
        </w:rPr>
      </w:pPr>
    </w:p>
    <w:p w:rsidR="00F833C0" w:rsidRDefault="000F2CA9" w:rsidP="007D0918">
      <w:pPr>
        <w:numPr>
          <w:ilvl w:val="0"/>
          <w:numId w:val="17"/>
        </w:numPr>
        <w:jc w:val="both"/>
        <w:rPr>
          <w:rFonts w:ascii="Calibri" w:eastAsia="Calibri" w:hAnsi="Calibri"/>
          <w:b/>
          <w:bCs/>
          <w:sz w:val="22"/>
          <w:szCs w:val="22"/>
          <w:lang w:eastAsia="en-US"/>
        </w:rPr>
      </w:pPr>
      <w:r>
        <w:rPr>
          <w:rFonts w:ascii="Calibri" w:eastAsia="Calibri" w:hAnsi="Calibri"/>
          <w:b/>
          <w:bCs/>
          <w:sz w:val="22"/>
          <w:szCs w:val="22"/>
          <w:lang w:eastAsia="en-US"/>
        </w:rPr>
        <w:t>Rappel et p</w:t>
      </w:r>
      <w:r w:rsidR="005B5DE2" w:rsidRPr="000F2CA9">
        <w:rPr>
          <w:rFonts w:ascii="Calibri" w:eastAsia="Calibri" w:hAnsi="Calibri"/>
          <w:b/>
          <w:bCs/>
          <w:sz w:val="22"/>
          <w:szCs w:val="22"/>
          <w:lang w:eastAsia="en-US"/>
        </w:rPr>
        <w:t>résentation de l’accord</w:t>
      </w:r>
      <w:r w:rsidR="007B5C62" w:rsidRPr="000F2CA9">
        <w:rPr>
          <w:rFonts w:ascii="Calibri" w:eastAsia="Calibri" w:hAnsi="Calibri"/>
          <w:b/>
          <w:bCs/>
          <w:sz w:val="22"/>
          <w:szCs w:val="22"/>
          <w:lang w:eastAsia="en-US"/>
        </w:rPr>
        <w:t xml:space="preserve"> de branche</w:t>
      </w:r>
    </w:p>
    <w:p w:rsidR="006B4CB3" w:rsidRDefault="006B4CB3" w:rsidP="006B4CB3">
      <w:pPr>
        <w:jc w:val="both"/>
        <w:rPr>
          <w:rFonts w:ascii="Calibri" w:eastAsia="Calibri" w:hAnsi="Calibri"/>
          <w:b/>
          <w:bCs/>
          <w:sz w:val="22"/>
          <w:szCs w:val="22"/>
          <w:lang w:eastAsia="en-US"/>
        </w:rPr>
      </w:pPr>
    </w:p>
    <w:p w:rsidR="006B4CB3" w:rsidRDefault="006B4CB3" w:rsidP="006B4CB3">
      <w:pPr>
        <w:numPr>
          <w:ilvl w:val="0"/>
          <w:numId w:val="21"/>
        </w:numPr>
        <w:jc w:val="both"/>
        <w:rPr>
          <w:rFonts w:ascii="Calibri" w:eastAsia="Calibri" w:hAnsi="Calibri"/>
          <w:b/>
          <w:bCs/>
          <w:sz w:val="22"/>
          <w:szCs w:val="22"/>
          <w:lang w:eastAsia="en-US"/>
        </w:rPr>
      </w:pPr>
      <w:r>
        <w:rPr>
          <w:rFonts w:ascii="Calibri" w:eastAsia="Calibri" w:hAnsi="Calibri"/>
          <w:b/>
          <w:bCs/>
          <w:sz w:val="22"/>
          <w:szCs w:val="22"/>
          <w:lang w:eastAsia="en-US"/>
        </w:rPr>
        <w:t>Rappel</w:t>
      </w:r>
    </w:p>
    <w:p w:rsidR="006B4CB3" w:rsidRDefault="006B4CB3" w:rsidP="006B4CB3">
      <w:pPr>
        <w:jc w:val="both"/>
        <w:rPr>
          <w:rFonts w:ascii="Calibri" w:eastAsia="Calibri" w:hAnsi="Calibri"/>
          <w:b/>
          <w:bCs/>
          <w:sz w:val="22"/>
          <w:szCs w:val="22"/>
          <w:lang w:eastAsia="en-US"/>
        </w:rPr>
      </w:pPr>
    </w:p>
    <w:p w:rsidR="006B4CB3" w:rsidRDefault="006B4CB3" w:rsidP="006B4CB3">
      <w:pPr>
        <w:ind w:left="1080"/>
        <w:jc w:val="both"/>
        <w:rPr>
          <w:rFonts w:ascii="Calibri" w:eastAsia="Calibri" w:hAnsi="Calibri"/>
          <w:b/>
          <w:bCs/>
          <w:sz w:val="22"/>
          <w:szCs w:val="22"/>
          <w:lang w:eastAsia="en-US"/>
        </w:rPr>
      </w:pPr>
      <w:r>
        <w:rPr>
          <w:rFonts w:ascii="Calibri" w:eastAsia="Calibri" w:hAnsi="Calibri"/>
          <w:b/>
          <w:bCs/>
          <w:sz w:val="22"/>
          <w:szCs w:val="22"/>
          <w:lang w:eastAsia="en-US"/>
        </w:rPr>
        <w:t>La convention de forfaits jours</w:t>
      </w:r>
    </w:p>
    <w:p w:rsidR="006B4CB3" w:rsidRDefault="006B4CB3" w:rsidP="006B4CB3">
      <w:pPr>
        <w:jc w:val="both"/>
        <w:rPr>
          <w:rFonts w:ascii="Calibri" w:eastAsia="Calibri" w:hAnsi="Calibri"/>
          <w:b/>
          <w:bCs/>
          <w:sz w:val="22"/>
          <w:szCs w:val="22"/>
          <w:lang w:eastAsia="en-US"/>
        </w:rPr>
      </w:pPr>
    </w:p>
    <w:p w:rsidR="006B4CB3" w:rsidRDefault="006B4CB3" w:rsidP="006B4CB3">
      <w:pPr>
        <w:jc w:val="both"/>
        <w:rPr>
          <w:rFonts w:ascii="Calibri" w:eastAsia="Calibri" w:hAnsi="Calibri"/>
          <w:bCs/>
          <w:sz w:val="22"/>
          <w:szCs w:val="22"/>
          <w:lang w:eastAsia="en-US"/>
        </w:rPr>
      </w:pPr>
      <w:r>
        <w:rPr>
          <w:rFonts w:ascii="Calibri" w:eastAsia="Calibri" w:hAnsi="Calibri"/>
          <w:bCs/>
          <w:sz w:val="22"/>
          <w:szCs w:val="22"/>
          <w:lang w:eastAsia="en-US"/>
        </w:rPr>
        <w:t xml:space="preserve">La convention de forfait jours n’est pas basée sur un nombre d’heures de travail, mais sur le nombre de jours travaillés sur l’année. </w:t>
      </w:r>
      <w:r w:rsidR="00695B49">
        <w:rPr>
          <w:rFonts w:ascii="Calibri" w:eastAsia="Calibri" w:hAnsi="Calibri"/>
          <w:bCs/>
          <w:sz w:val="22"/>
          <w:szCs w:val="22"/>
          <w:lang w:eastAsia="en-US"/>
        </w:rPr>
        <w:t>Autrement dit, l</w:t>
      </w:r>
      <w:r>
        <w:rPr>
          <w:rFonts w:ascii="Calibri" w:eastAsia="Calibri" w:hAnsi="Calibri"/>
          <w:bCs/>
          <w:sz w:val="22"/>
          <w:szCs w:val="22"/>
          <w:lang w:eastAsia="en-US"/>
        </w:rPr>
        <w:t xml:space="preserve">es salariés soumis à ce type de forfait ne sont pas rémunérés en fonction de leurs horaires (ils n’en ont pas), mais sur la base d’un nombre annuel de jours de travail </w:t>
      </w:r>
      <w:r w:rsidRPr="006B4CB3">
        <w:rPr>
          <w:rFonts w:ascii="Calibri" w:eastAsia="Calibri" w:hAnsi="Calibri"/>
          <w:bCs/>
          <w:sz w:val="22"/>
          <w:szCs w:val="22"/>
          <w:lang w:eastAsia="en-US"/>
        </w:rPr>
        <w:t>(au maximum 218 jours).</w:t>
      </w:r>
    </w:p>
    <w:p w:rsidR="006B4CB3" w:rsidRDefault="006B4CB3" w:rsidP="006B4CB3">
      <w:pPr>
        <w:jc w:val="both"/>
        <w:rPr>
          <w:rFonts w:ascii="Calibri" w:eastAsia="Calibri" w:hAnsi="Calibri"/>
          <w:bCs/>
          <w:sz w:val="22"/>
          <w:szCs w:val="22"/>
          <w:lang w:eastAsia="en-US"/>
        </w:rPr>
      </w:pPr>
    </w:p>
    <w:p w:rsidR="006B4CB3" w:rsidRPr="006B4CB3" w:rsidRDefault="00695B49" w:rsidP="006B4CB3">
      <w:pPr>
        <w:jc w:val="both"/>
        <w:rPr>
          <w:rFonts w:ascii="Calibri" w:eastAsia="Calibri" w:hAnsi="Calibri"/>
          <w:bCs/>
          <w:sz w:val="22"/>
          <w:szCs w:val="22"/>
          <w:lang w:eastAsia="en-US"/>
        </w:rPr>
      </w:pPr>
      <w:r>
        <w:rPr>
          <w:rFonts w:ascii="Calibri" w:eastAsia="Calibri" w:hAnsi="Calibri"/>
          <w:bCs/>
          <w:sz w:val="22"/>
          <w:szCs w:val="22"/>
          <w:lang w:eastAsia="en-US"/>
        </w:rPr>
        <w:t xml:space="preserve">Elle </w:t>
      </w:r>
      <w:r w:rsidR="006F5CAD">
        <w:rPr>
          <w:rFonts w:ascii="Calibri" w:eastAsia="Calibri" w:hAnsi="Calibri"/>
          <w:bCs/>
          <w:sz w:val="22"/>
          <w:szCs w:val="22"/>
          <w:lang w:eastAsia="en-US"/>
        </w:rPr>
        <w:t>concerne seulement les cadres dont les fonctions rendent difficiles le décompte du temps de travail dans les conditions de droit commun.</w:t>
      </w:r>
      <w:r w:rsidR="00E03BBF">
        <w:rPr>
          <w:rFonts w:ascii="Calibri" w:eastAsia="Calibri" w:hAnsi="Calibri"/>
          <w:bCs/>
          <w:sz w:val="22"/>
          <w:szCs w:val="22"/>
          <w:lang w:eastAsia="en-US"/>
        </w:rPr>
        <w:t xml:space="preserve"> </w:t>
      </w:r>
    </w:p>
    <w:p w:rsidR="008B7144" w:rsidRDefault="008B7144" w:rsidP="008B7144">
      <w:pPr>
        <w:jc w:val="both"/>
        <w:rPr>
          <w:rFonts w:ascii="Calibri" w:eastAsia="Calibri" w:hAnsi="Calibri"/>
          <w:b/>
          <w:bCs/>
          <w:sz w:val="22"/>
          <w:szCs w:val="22"/>
          <w:lang w:eastAsia="en-US"/>
        </w:rPr>
      </w:pPr>
    </w:p>
    <w:p w:rsidR="008B7144" w:rsidRPr="008B7144" w:rsidRDefault="008B7144" w:rsidP="008B7144">
      <w:pPr>
        <w:ind w:left="1080"/>
        <w:jc w:val="both"/>
        <w:rPr>
          <w:rFonts w:ascii="Calibri" w:eastAsia="Calibri" w:hAnsi="Calibri"/>
          <w:b/>
          <w:bCs/>
          <w:sz w:val="22"/>
          <w:szCs w:val="22"/>
          <w:lang w:eastAsia="en-US"/>
        </w:rPr>
      </w:pPr>
      <w:r w:rsidRPr="008B7144">
        <w:rPr>
          <w:rFonts w:ascii="Calibri" w:eastAsia="Calibri" w:hAnsi="Calibri"/>
          <w:b/>
          <w:bCs/>
          <w:sz w:val="22"/>
          <w:szCs w:val="22"/>
          <w:lang w:eastAsia="en-US"/>
        </w:rPr>
        <w:t>Les conditions de mise en place des forfaits jours</w:t>
      </w:r>
    </w:p>
    <w:p w:rsidR="008B7144" w:rsidRDefault="008B7144" w:rsidP="008B7144">
      <w:pPr>
        <w:jc w:val="both"/>
        <w:rPr>
          <w:rFonts w:ascii="Calibri" w:eastAsia="Calibri" w:hAnsi="Calibri"/>
          <w:b/>
          <w:bCs/>
          <w:sz w:val="22"/>
          <w:szCs w:val="22"/>
          <w:lang w:eastAsia="en-US"/>
        </w:rPr>
      </w:pPr>
    </w:p>
    <w:p w:rsidR="008B7144" w:rsidRDefault="008B7144" w:rsidP="008B7144">
      <w:pPr>
        <w:jc w:val="both"/>
        <w:rPr>
          <w:rFonts w:ascii="Calibri" w:eastAsia="Calibri" w:hAnsi="Calibri"/>
          <w:bCs/>
          <w:sz w:val="22"/>
          <w:szCs w:val="22"/>
          <w:lang w:eastAsia="en-US"/>
        </w:rPr>
      </w:pPr>
      <w:r w:rsidRPr="008B7144">
        <w:rPr>
          <w:rFonts w:ascii="Calibri" w:eastAsia="Calibri" w:hAnsi="Calibri"/>
          <w:bCs/>
          <w:sz w:val="22"/>
          <w:szCs w:val="22"/>
          <w:lang w:eastAsia="en-US"/>
        </w:rPr>
        <w:t>L’employeur ne peut mettre en place des forfaits jours sur l’année que si un accord collectif applicable à l’entreprise le prévoit, ou un accord de branche (art. L.3121-39 du Code du travail).</w:t>
      </w:r>
    </w:p>
    <w:p w:rsidR="008B7144" w:rsidRDefault="008B7144" w:rsidP="008B7144">
      <w:pPr>
        <w:jc w:val="both"/>
        <w:rPr>
          <w:rFonts w:ascii="Calibri" w:eastAsia="Calibri" w:hAnsi="Calibri"/>
          <w:bCs/>
          <w:sz w:val="22"/>
          <w:szCs w:val="22"/>
          <w:lang w:eastAsia="en-US"/>
        </w:rPr>
      </w:pPr>
    </w:p>
    <w:p w:rsidR="008B7144" w:rsidRPr="008B7144" w:rsidRDefault="008B7144" w:rsidP="008B7144">
      <w:pPr>
        <w:jc w:val="both"/>
        <w:rPr>
          <w:rFonts w:ascii="Calibri" w:eastAsia="Calibri" w:hAnsi="Calibri"/>
          <w:bCs/>
          <w:sz w:val="22"/>
          <w:szCs w:val="22"/>
          <w:lang w:eastAsia="en-US"/>
        </w:rPr>
      </w:pPr>
      <w:r>
        <w:rPr>
          <w:rFonts w:ascii="Calibri" w:eastAsia="Calibri" w:hAnsi="Calibri"/>
          <w:bCs/>
          <w:sz w:val="22"/>
          <w:szCs w:val="22"/>
          <w:lang w:eastAsia="en-US"/>
        </w:rPr>
        <w:t>Même s’il est couvert par un accord d’entreprise ou de branche, l’employeur ne peut</w:t>
      </w:r>
      <w:r w:rsidR="006F5CAD">
        <w:rPr>
          <w:rFonts w:ascii="Calibri" w:eastAsia="Calibri" w:hAnsi="Calibri"/>
          <w:bCs/>
          <w:sz w:val="22"/>
          <w:szCs w:val="22"/>
          <w:lang w:eastAsia="en-US"/>
        </w:rPr>
        <w:t xml:space="preserve"> pas</w:t>
      </w:r>
      <w:r>
        <w:rPr>
          <w:rFonts w:ascii="Calibri" w:eastAsia="Calibri" w:hAnsi="Calibri"/>
          <w:bCs/>
          <w:sz w:val="22"/>
          <w:szCs w:val="22"/>
          <w:lang w:eastAsia="en-US"/>
        </w:rPr>
        <w:t xml:space="preserve"> imposer le forfait jours à un salarié cadre, </w:t>
      </w:r>
      <w:r w:rsidR="006F5CAD">
        <w:rPr>
          <w:rFonts w:ascii="Calibri" w:eastAsia="Calibri" w:hAnsi="Calibri"/>
          <w:bCs/>
          <w:sz w:val="22"/>
          <w:szCs w:val="22"/>
          <w:lang w:eastAsia="en-US"/>
        </w:rPr>
        <w:t>l’</w:t>
      </w:r>
      <w:r>
        <w:rPr>
          <w:rFonts w:ascii="Calibri" w:eastAsia="Calibri" w:hAnsi="Calibri"/>
          <w:bCs/>
          <w:sz w:val="22"/>
          <w:szCs w:val="22"/>
          <w:lang w:eastAsia="en-US"/>
        </w:rPr>
        <w:t xml:space="preserve">accord </w:t>
      </w:r>
      <w:r w:rsidR="006F5CAD">
        <w:rPr>
          <w:rFonts w:ascii="Calibri" w:eastAsia="Calibri" w:hAnsi="Calibri"/>
          <w:bCs/>
          <w:sz w:val="22"/>
          <w:szCs w:val="22"/>
          <w:lang w:eastAsia="en-US"/>
        </w:rPr>
        <w:t xml:space="preserve">de ce dernier </w:t>
      </w:r>
      <w:r>
        <w:rPr>
          <w:rFonts w:ascii="Calibri" w:eastAsia="Calibri" w:hAnsi="Calibri"/>
          <w:bCs/>
          <w:sz w:val="22"/>
          <w:szCs w:val="22"/>
          <w:lang w:eastAsia="en-US"/>
        </w:rPr>
        <w:t>est requis (art. L.3121-40</w:t>
      </w:r>
      <w:r w:rsidR="0031614D">
        <w:rPr>
          <w:rFonts w:ascii="Calibri" w:eastAsia="Calibri" w:hAnsi="Calibri"/>
          <w:bCs/>
          <w:sz w:val="22"/>
          <w:szCs w:val="22"/>
          <w:lang w:eastAsia="en-US"/>
        </w:rPr>
        <w:t xml:space="preserve"> </w:t>
      </w:r>
      <w:r w:rsidR="0031614D" w:rsidRPr="0031614D">
        <w:rPr>
          <w:rFonts w:ascii="Calibri" w:eastAsia="Calibri" w:hAnsi="Calibri"/>
          <w:bCs/>
          <w:sz w:val="22"/>
          <w:szCs w:val="22"/>
          <w:lang w:eastAsia="en-US"/>
        </w:rPr>
        <w:t>du Code du travail</w:t>
      </w:r>
      <w:r>
        <w:rPr>
          <w:rFonts w:ascii="Calibri" w:eastAsia="Calibri" w:hAnsi="Calibri"/>
          <w:bCs/>
          <w:sz w:val="22"/>
          <w:szCs w:val="22"/>
          <w:lang w:eastAsia="en-US"/>
        </w:rPr>
        <w:t>)</w:t>
      </w:r>
      <w:r w:rsidR="0031614D">
        <w:rPr>
          <w:rFonts w:ascii="Calibri" w:eastAsia="Calibri" w:hAnsi="Calibri"/>
          <w:bCs/>
          <w:sz w:val="22"/>
          <w:szCs w:val="22"/>
          <w:lang w:eastAsia="en-US"/>
        </w:rPr>
        <w:t xml:space="preserve"> et la signature d’une convention individuelle écrite est obligatoire en sus de l’accord d’entreprise ou de branche (modalités ci-après).</w:t>
      </w:r>
    </w:p>
    <w:p w:rsidR="007B5C62" w:rsidRDefault="007B5C62" w:rsidP="00162B6C">
      <w:pPr>
        <w:jc w:val="both"/>
        <w:rPr>
          <w:rFonts w:ascii="Calibri" w:eastAsia="Calibri" w:hAnsi="Calibri"/>
          <w:bCs/>
          <w:sz w:val="22"/>
          <w:szCs w:val="22"/>
          <w:lang w:eastAsia="en-US"/>
        </w:rPr>
      </w:pPr>
    </w:p>
    <w:p w:rsidR="007D0918" w:rsidRPr="007D0918" w:rsidRDefault="007D0918" w:rsidP="007D0918">
      <w:pPr>
        <w:ind w:left="1080"/>
        <w:jc w:val="both"/>
        <w:rPr>
          <w:rFonts w:ascii="Calibri" w:eastAsia="Calibri" w:hAnsi="Calibri"/>
          <w:b/>
          <w:bCs/>
          <w:sz w:val="22"/>
          <w:szCs w:val="22"/>
          <w:lang w:eastAsia="en-US"/>
        </w:rPr>
      </w:pPr>
      <w:r w:rsidRPr="007D0918">
        <w:rPr>
          <w:rFonts w:ascii="Calibri" w:eastAsia="Calibri" w:hAnsi="Calibri"/>
          <w:b/>
          <w:bCs/>
          <w:sz w:val="22"/>
          <w:szCs w:val="22"/>
          <w:lang w:eastAsia="en-US"/>
        </w:rPr>
        <w:t xml:space="preserve">Point sur l’accord du 3 mai 1999 relatif à la durée et à l’aménagement du travail </w:t>
      </w:r>
    </w:p>
    <w:p w:rsidR="007D0918" w:rsidRDefault="007D0918" w:rsidP="00162B6C">
      <w:pPr>
        <w:jc w:val="both"/>
        <w:rPr>
          <w:rFonts w:ascii="Calibri" w:eastAsia="Calibri" w:hAnsi="Calibri"/>
          <w:bCs/>
          <w:sz w:val="22"/>
          <w:szCs w:val="22"/>
          <w:lang w:eastAsia="en-US"/>
        </w:rPr>
      </w:pPr>
    </w:p>
    <w:p w:rsidR="007D0918" w:rsidRDefault="000F2CA9" w:rsidP="00162B6C">
      <w:pPr>
        <w:jc w:val="both"/>
        <w:rPr>
          <w:rFonts w:ascii="Calibri" w:eastAsia="Calibri" w:hAnsi="Calibri"/>
          <w:bCs/>
          <w:sz w:val="22"/>
          <w:szCs w:val="22"/>
          <w:lang w:eastAsia="en-US"/>
        </w:rPr>
      </w:pPr>
      <w:r w:rsidRPr="000F2CA9">
        <w:rPr>
          <w:rFonts w:ascii="Calibri" w:eastAsia="Calibri" w:hAnsi="Calibri"/>
          <w:bCs/>
          <w:sz w:val="22"/>
          <w:szCs w:val="22"/>
          <w:lang w:eastAsia="en-US"/>
        </w:rPr>
        <w:t>Lors</w:t>
      </w:r>
      <w:r>
        <w:rPr>
          <w:rFonts w:ascii="Calibri" w:eastAsia="Calibri" w:hAnsi="Calibri"/>
          <w:bCs/>
          <w:sz w:val="22"/>
          <w:szCs w:val="22"/>
          <w:lang w:eastAsia="en-US"/>
        </w:rPr>
        <w:t xml:space="preserve"> du passage aux 35h, l’accord du 3 mai</w:t>
      </w:r>
      <w:r w:rsidRPr="000F2CA9">
        <w:rPr>
          <w:rFonts w:ascii="Calibri" w:eastAsia="Calibri" w:hAnsi="Calibri"/>
          <w:bCs/>
          <w:sz w:val="22"/>
          <w:szCs w:val="22"/>
          <w:lang w:eastAsia="en-US"/>
        </w:rPr>
        <w:t xml:space="preserve"> 1999 </w:t>
      </w:r>
      <w:r w:rsidR="00CF07F4">
        <w:rPr>
          <w:rFonts w:ascii="Calibri" w:eastAsia="Calibri" w:hAnsi="Calibri"/>
          <w:bCs/>
          <w:sz w:val="22"/>
          <w:szCs w:val="22"/>
          <w:lang w:eastAsia="en-US"/>
        </w:rPr>
        <w:t xml:space="preserve">de la CCN relatif à la </w:t>
      </w:r>
      <w:r>
        <w:rPr>
          <w:rFonts w:ascii="Calibri" w:eastAsia="Calibri" w:hAnsi="Calibri"/>
          <w:bCs/>
          <w:sz w:val="22"/>
          <w:szCs w:val="22"/>
          <w:lang w:eastAsia="en-US"/>
        </w:rPr>
        <w:t xml:space="preserve">durée et à l’aménagement du travail </w:t>
      </w:r>
      <w:r w:rsidRPr="000F2CA9">
        <w:rPr>
          <w:rFonts w:ascii="Calibri" w:eastAsia="Calibri" w:hAnsi="Calibri"/>
          <w:bCs/>
          <w:sz w:val="22"/>
          <w:szCs w:val="22"/>
          <w:lang w:eastAsia="en-US"/>
        </w:rPr>
        <w:t xml:space="preserve">prévoyait la possibilité d’un forfait </w:t>
      </w:r>
      <w:r w:rsidR="003956DC">
        <w:rPr>
          <w:rFonts w:ascii="Calibri" w:eastAsia="Calibri" w:hAnsi="Calibri"/>
          <w:bCs/>
          <w:sz w:val="22"/>
          <w:szCs w:val="22"/>
          <w:lang w:eastAsia="en-US"/>
        </w:rPr>
        <w:t xml:space="preserve">jours pour les cadres autonomes. </w:t>
      </w:r>
      <w:r w:rsidR="00B06705" w:rsidRPr="000F2CA9">
        <w:rPr>
          <w:rFonts w:ascii="Calibri" w:eastAsia="Calibri" w:hAnsi="Calibri"/>
          <w:bCs/>
          <w:sz w:val="22"/>
          <w:szCs w:val="22"/>
          <w:lang w:eastAsia="en-US"/>
        </w:rPr>
        <w:t xml:space="preserve">Ces dispositions ont été remises en cause </w:t>
      </w:r>
      <w:r w:rsidR="003956DC">
        <w:rPr>
          <w:rFonts w:ascii="Calibri" w:eastAsia="Calibri" w:hAnsi="Calibri"/>
          <w:bCs/>
          <w:sz w:val="22"/>
          <w:szCs w:val="22"/>
          <w:lang w:eastAsia="en-US"/>
        </w:rPr>
        <w:t xml:space="preserve">notamment </w:t>
      </w:r>
      <w:r w:rsidR="00B06705" w:rsidRPr="000F2CA9">
        <w:rPr>
          <w:rFonts w:ascii="Calibri" w:eastAsia="Calibri" w:hAnsi="Calibri"/>
          <w:bCs/>
          <w:sz w:val="22"/>
          <w:szCs w:val="22"/>
          <w:lang w:eastAsia="en-US"/>
        </w:rPr>
        <w:t xml:space="preserve">par </w:t>
      </w:r>
      <w:r w:rsidR="00A37AE4">
        <w:rPr>
          <w:rFonts w:ascii="Calibri" w:eastAsia="Calibri" w:hAnsi="Calibri"/>
          <w:bCs/>
          <w:sz w:val="22"/>
          <w:szCs w:val="22"/>
          <w:lang w:eastAsia="en-US"/>
        </w:rPr>
        <w:t>diverses</w:t>
      </w:r>
      <w:r w:rsidR="00B06705" w:rsidRPr="000F2CA9">
        <w:rPr>
          <w:rFonts w:ascii="Calibri" w:eastAsia="Calibri" w:hAnsi="Calibri"/>
          <w:bCs/>
          <w:sz w:val="22"/>
          <w:szCs w:val="22"/>
          <w:lang w:eastAsia="en-US"/>
        </w:rPr>
        <w:t xml:space="preserve"> jurisprudences de la Cour de cassation</w:t>
      </w:r>
      <w:r w:rsidR="00A37AE4">
        <w:rPr>
          <w:rFonts w:ascii="Calibri" w:eastAsia="Calibri" w:hAnsi="Calibri"/>
          <w:bCs/>
          <w:sz w:val="22"/>
          <w:szCs w:val="22"/>
          <w:lang w:eastAsia="en-US"/>
        </w:rPr>
        <w:t xml:space="preserve"> postérieures, lesquelles ont un effet rétroactif et s’appliquent immédiatement à des accords collectifs conclus antérieurement. </w:t>
      </w:r>
    </w:p>
    <w:p w:rsidR="007D0918" w:rsidRDefault="007D0918" w:rsidP="00162B6C">
      <w:pPr>
        <w:jc w:val="both"/>
        <w:rPr>
          <w:rFonts w:ascii="Calibri" w:eastAsia="Calibri" w:hAnsi="Calibri"/>
          <w:bCs/>
          <w:sz w:val="22"/>
          <w:szCs w:val="22"/>
          <w:lang w:eastAsia="en-US"/>
        </w:rPr>
      </w:pPr>
    </w:p>
    <w:p w:rsidR="007D0918" w:rsidRDefault="00A37AE4" w:rsidP="00162B6C">
      <w:pPr>
        <w:jc w:val="both"/>
        <w:rPr>
          <w:rFonts w:ascii="Calibri" w:eastAsia="Calibri" w:hAnsi="Calibri"/>
          <w:bCs/>
          <w:sz w:val="22"/>
          <w:szCs w:val="22"/>
          <w:lang w:eastAsia="en-US"/>
        </w:rPr>
      </w:pPr>
      <w:r>
        <w:rPr>
          <w:rFonts w:ascii="Calibri" w:eastAsia="Calibri" w:hAnsi="Calibri"/>
          <w:bCs/>
          <w:sz w:val="22"/>
          <w:szCs w:val="22"/>
          <w:lang w:eastAsia="en-US"/>
        </w:rPr>
        <w:t xml:space="preserve">Ainsi l’accord collectif sur la base duquel le forfait jours </w:t>
      </w:r>
      <w:r w:rsidR="00DB3FBE">
        <w:rPr>
          <w:rFonts w:ascii="Calibri" w:eastAsia="Calibri" w:hAnsi="Calibri"/>
          <w:bCs/>
          <w:sz w:val="22"/>
          <w:szCs w:val="22"/>
          <w:lang w:eastAsia="en-US"/>
        </w:rPr>
        <w:t xml:space="preserve">est </w:t>
      </w:r>
      <w:r>
        <w:rPr>
          <w:rFonts w:ascii="Calibri" w:eastAsia="Calibri" w:hAnsi="Calibri"/>
          <w:bCs/>
          <w:sz w:val="22"/>
          <w:szCs w:val="22"/>
          <w:lang w:eastAsia="en-US"/>
        </w:rPr>
        <w:t>pratiqué doit, pour être aujourd’hui valable, mentionner tous les éléments suivants</w:t>
      </w:r>
      <w:r w:rsidR="00DB3FBE">
        <w:rPr>
          <w:rFonts w:ascii="Calibri" w:eastAsia="Calibri" w:hAnsi="Calibri"/>
          <w:bCs/>
          <w:sz w:val="22"/>
          <w:szCs w:val="22"/>
          <w:lang w:eastAsia="en-US"/>
        </w:rPr>
        <w:t xml:space="preserve"> (art. L</w:t>
      </w:r>
      <w:r w:rsidR="007D0918">
        <w:t>.</w:t>
      </w:r>
      <w:r w:rsidR="00DB3FBE" w:rsidRPr="00DB3FBE">
        <w:rPr>
          <w:rFonts w:ascii="Calibri" w:eastAsia="Calibri" w:hAnsi="Calibri"/>
          <w:bCs/>
          <w:sz w:val="22"/>
          <w:szCs w:val="22"/>
          <w:lang w:eastAsia="en-US"/>
        </w:rPr>
        <w:t>3121-43</w:t>
      </w:r>
      <w:r w:rsidR="00DB3FBE">
        <w:rPr>
          <w:rFonts w:ascii="Calibri" w:eastAsia="Calibri" w:hAnsi="Calibri"/>
          <w:bCs/>
          <w:sz w:val="22"/>
          <w:szCs w:val="22"/>
          <w:lang w:eastAsia="en-US"/>
        </w:rPr>
        <w:t xml:space="preserve"> et suivants du Code du travail) </w:t>
      </w:r>
      <w:r>
        <w:rPr>
          <w:rFonts w:ascii="Calibri" w:eastAsia="Calibri" w:hAnsi="Calibri"/>
          <w:bCs/>
          <w:sz w:val="22"/>
          <w:szCs w:val="22"/>
          <w:lang w:eastAsia="en-US"/>
        </w:rPr>
        <w:t>: catégorie des salariés, durée annuelle, nombre de jours maximal pouvant être travaillés sur l’année</w:t>
      </w:r>
      <w:r w:rsidR="00DB3FBE">
        <w:rPr>
          <w:rFonts w:ascii="Calibri" w:eastAsia="Calibri" w:hAnsi="Calibri"/>
          <w:bCs/>
          <w:sz w:val="22"/>
          <w:szCs w:val="22"/>
          <w:lang w:eastAsia="en-US"/>
        </w:rPr>
        <w:t xml:space="preserve">, garantie du respect des durées maximales de travail, repos journaliers, repos hebdomadaires, modalités précises de suivi de la charge de travail et de l’amplitude des journées d’activité. </w:t>
      </w:r>
    </w:p>
    <w:p w:rsidR="007D0918" w:rsidRDefault="007D0918" w:rsidP="00162B6C">
      <w:pPr>
        <w:jc w:val="both"/>
        <w:rPr>
          <w:rFonts w:ascii="Calibri" w:eastAsia="Calibri" w:hAnsi="Calibri"/>
          <w:bCs/>
          <w:sz w:val="22"/>
          <w:szCs w:val="22"/>
          <w:lang w:eastAsia="en-US"/>
        </w:rPr>
      </w:pPr>
    </w:p>
    <w:p w:rsidR="007D0918" w:rsidRDefault="007D0918" w:rsidP="00162B6C">
      <w:pPr>
        <w:jc w:val="both"/>
        <w:rPr>
          <w:rFonts w:ascii="Calibri" w:eastAsia="Calibri" w:hAnsi="Calibri"/>
          <w:bCs/>
          <w:sz w:val="22"/>
          <w:szCs w:val="22"/>
          <w:lang w:eastAsia="en-US"/>
        </w:rPr>
      </w:pPr>
      <w:r w:rsidRPr="007D0918">
        <w:rPr>
          <w:rFonts w:ascii="Calibri" w:eastAsia="Calibri" w:hAnsi="Calibri"/>
          <w:bCs/>
          <w:sz w:val="22"/>
          <w:szCs w:val="22"/>
          <w:lang w:eastAsia="en-US"/>
        </w:rPr>
        <w:lastRenderedPageBreak/>
        <w:t>L’accord du 3 mai 1999</w:t>
      </w:r>
      <w:r>
        <w:rPr>
          <w:rFonts w:ascii="Calibri" w:eastAsia="Calibri" w:hAnsi="Calibri"/>
          <w:bCs/>
          <w:sz w:val="22"/>
          <w:szCs w:val="22"/>
          <w:lang w:eastAsia="en-US"/>
        </w:rPr>
        <w:t xml:space="preserve"> ne répond plus aujourd’hui aux exigences de la Cour de cassation.</w:t>
      </w:r>
    </w:p>
    <w:p w:rsidR="007D0918" w:rsidRDefault="007D0918" w:rsidP="00162B6C">
      <w:pPr>
        <w:jc w:val="both"/>
        <w:rPr>
          <w:rFonts w:ascii="Calibri" w:eastAsia="Calibri" w:hAnsi="Calibri"/>
          <w:bCs/>
          <w:sz w:val="22"/>
          <w:szCs w:val="22"/>
          <w:lang w:eastAsia="en-US"/>
        </w:rPr>
      </w:pPr>
    </w:p>
    <w:p w:rsidR="00DB3FBE" w:rsidRDefault="00DB3FBE" w:rsidP="008B7144">
      <w:pPr>
        <w:jc w:val="both"/>
        <w:rPr>
          <w:rFonts w:ascii="Calibri" w:eastAsia="Calibri" w:hAnsi="Calibri"/>
          <w:bCs/>
          <w:sz w:val="22"/>
          <w:szCs w:val="22"/>
          <w:lang w:eastAsia="en-US"/>
        </w:rPr>
      </w:pPr>
      <w:r w:rsidRPr="000F2CA9">
        <w:rPr>
          <w:rFonts w:ascii="Calibri" w:eastAsia="Calibri" w:hAnsi="Calibri"/>
          <w:bCs/>
          <w:sz w:val="22"/>
          <w:szCs w:val="22"/>
          <w:lang w:eastAsia="en-US"/>
        </w:rPr>
        <w:t xml:space="preserve">En conséquence, </w:t>
      </w:r>
      <w:r>
        <w:rPr>
          <w:rFonts w:ascii="Calibri" w:eastAsia="Calibri" w:hAnsi="Calibri"/>
          <w:bCs/>
          <w:sz w:val="22"/>
          <w:szCs w:val="22"/>
          <w:lang w:eastAsia="en-US"/>
        </w:rPr>
        <w:t>l’accord de branche du 11 juillet 2013, qui prévoit toutes ces modalités, permet de sécuriser la pratique des forfaits jours</w:t>
      </w:r>
      <w:r w:rsidR="007D0918">
        <w:rPr>
          <w:rFonts w:ascii="Calibri" w:eastAsia="Calibri" w:hAnsi="Calibri"/>
          <w:bCs/>
          <w:sz w:val="22"/>
          <w:szCs w:val="22"/>
          <w:lang w:eastAsia="en-US"/>
        </w:rPr>
        <w:t xml:space="preserve"> au sein de la branche, et donne une véritable base aux entreprises qui ne disposaient pas d’un accord.</w:t>
      </w:r>
    </w:p>
    <w:p w:rsidR="006B4CB3" w:rsidRDefault="006B4CB3" w:rsidP="008B7144">
      <w:pPr>
        <w:jc w:val="both"/>
        <w:rPr>
          <w:rFonts w:ascii="Calibri" w:eastAsia="Calibri" w:hAnsi="Calibri"/>
          <w:bCs/>
          <w:sz w:val="22"/>
          <w:szCs w:val="22"/>
          <w:lang w:eastAsia="en-US"/>
        </w:rPr>
      </w:pPr>
    </w:p>
    <w:p w:rsidR="006B4CB3" w:rsidRDefault="006B4CB3" w:rsidP="006B4CB3">
      <w:pPr>
        <w:ind w:left="1080"/>
        <w:jc w:val="both"/>
        <w:rPr>
          <w:rFonts w:ascii="Calibri" w:eastAsia="Calibri" w:hAnsi="Calibri"/>
          <w:bCs/>
          <w:sz w:val="22"/>
          <w:szCs w:val="22"/>
          <w:lang w:eastAsia="en-US"/>
        </w:rPr>
      </w:pPr>
      <w:r w:rsidRPr="00181386">
        <w:rPr>
          <w:rFonts w:ascii="Calibri" w:eastAsia="Calibri" w:hAnsi="Calibri"/>
          <w:b/>
          <w:bCs/>
          <w:sz w:val="22"/>
          <w:szCs w:val="22"/>
          <w:lang w:eastAsia="en-US"/>
        </w:rPr>
        <w:t>Les effets sur les accords d’entreprise existants</w:t>
      </w:r>
    </w:p>
    <w:p w:rsidR="006B4CB3" w:rsidRDefault="006B4CB3" w:rsidP="006B4CB3">
      <w:pPr>
        <w:jc w:val="both"/>
        <w:rPr>
          <w:rFonts w:ascii="Calibri" w:eastAsia="Calibri" w:hAnsi="Calibri"/>
          <w:bCs/>
          <w:sz w:val="22"/>
          <w:szCs w:val="22"/>
          <w:lang w:eastAsia="en-US"/>
        </w:rPr>
      </w:pPr>
    </w:p>
    <w:p w:rsidR="006B4CB3" w:rsidRDefault="006B4CB3" w:rsidP="006B4CB3">
      <w:pPr>
        <w:jc w:val="both"/>
        <w:rPr>
          <w:rFonts w:ascii="Calibri" w:eastAsia="Calibri" w:hAnsi="Calibri"/>
          <w:bCs/>
          <w:sz w:val="22"/>
          <w:szCs w:val="22"/>
          <w:lang w:eastAsia="en-US"/>
        </w:rPr>
      </w:pPr>
      <w:r>
        <w:rPr>
          <w:rFonts w:ascii="Calibri" w:eastAsia="Calibri" w:hAnsi="Calibri"/>
          <w:bCs/>
          <w:sz w:val="22"/>
          <w:szCs w:val="22"/>
          <w:lang w:eastAsia="en-US"/>
        </w:rPr>
        <w:t>Les accords collectifs d’entreprise déjà en vigueur à la date du présent accord poursuivent leurs effets</w:t>
      </w:r>
      <w:r>
        <w:rPr>
          <w:rStyle w:val="Appelnotedebasdep"/>
          <w:rFonts w:ascii="Calibri" w:eastAsia="Calibri" w:hAnsi="Calibri"/>
          <w:bCs/>
          <w:sz w:val="22"/>
          <w:szCs w:val="22"/>
          <w:lang w:eastAsia="en-US"/>
        </w:rPr>
        <w:footnoteReference w:id="1"/>
      </w:r>
      <w:r>
        <w:rPr>
          <w:rFonts w:ascii="Calibri" w:eastAsia="Calibri" w:hAnsi="Calibri"/>
          <w:bCs/>
          <w:sz w:val="22"/>
          <w:szCs w:val="22"/>
          <w:lang w:eastAsia="en-US"/>
        </w:rPr>
        <w:t>.</w:t>
      </w:r>
    </w:p>
    <w:p w:rsidR="003B6B98" w:rsidRDefault="003B6B98" w:rsidP="006B4CB3">
      <w:pPr>
        <w:jc w:val="both"/>
        <w:rPr>
          <w:rFonts w:ascii="Calibri" w:eastAsia="Calibri" w:hAnsi="Calibri"/>
          <w:bCs/>
          <w:sz w:val="22"/>
          <w:szCs w:val="22"/>
          <w:lang w:eastAsia="en-US"/>
        </w:rPr>
      </w:pPr>
    </w:p>
    <w:p w:rsidR="006B4CB3" w:rsidRDefault="006B4CB3" w:rsidP="006B4CB3">
      <w:pPr>
        <w:jc w:val="both"/>
        <w:rPr>
          <w:rFonts w:ascii="Calibri" w:eastAsia="Calibri" w:hAnsi="Calibri"/>
          <w:bCs/>
          <w:sz w:val="22"/>
          <w:szCs w:val="22"/>
          <w:lang w:eastAsia="en-US"/>
        </w:rPr>
      </w:pPr>
      <w:r>
        <w:rPr>
          <w:rFonts w:ascii="Calibri" w:eastAsia="Calibri" w:hAnsi="Calibri"/>
          <w:bCs/>
          <w:sz w:val="22"/>
          <w:szCs w:val="22"/>
          <w:lang w:eastAsia="en-US"/>
        </w:rPr>
        <w:t>En présence de l’accord de branche, les entreprises qui le souhaitent peuvent également conclure des accords collectifs :</w:t>
      </w:r>
    </w:p>
    <w:p w:rsidR="006B4CB3" w:rsidRDefault="006B4CB3" w:rsidP="006B4CB3">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Soit pour compléter le dispositif mis en place au niveau de la branche</w:t>
      </w:r>
      <w:r w:rsidR="00695B49">
        <w:rPr>
          <w:rFonts w:ascii="Calibri" w:eastAsia="Calibri" w:hAnsi="Calibri"/>
          <w:bCs/>
          <w:sz w:val="22"/>
          <w:szCs w:val="22"/>
          <w:lang w:eastAsia="en-US"/>
        </w:rPr>
        <w:t> ;</w:t>
      </w:r>
    </w:p>
    <w:p w:rsidR="006B4CB3" w:rsidRDefault="00CF07F4" w:rsidP="006B4CB3">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 xml:space="preserve">Soit pour les </w:t>
      </w:r>
      <w:r w:rsidR="006B4CB3">
        <w:rPr>
          <w:rFonts w:ascii="Calibri" w:eastAsia="Calibri" w:hAnsi="Calibri"/>
          <w:bCs/>
          <w:sz w:val="22"/>
          <w:szCs w:val="22"/>
          <w:lang w:eastAsia="en-US"/>
        </w:rPr>
        <w:t>appliquer en lieu et place de l’accord de branche</w:t>
      </w:r>
      <w:r w:rsidR="00695B49">
        <w:rPr>
          <w:rFonts w:ascii="Calibri" w:eastAsia="Calibri" w:hAnsi="Calibri"/>
          <w:bCs/>
          <w:sz w:val="22"/>
          <w:szCs w:val="22"/>
          <w:lang w:eastAsia="en-US"/>
        </w:rPr>
        <w:t>.</w:t>
      </w:r>
    </w:p>
    <w:p w:rsidR="00695B49" w:rsidRDefault="00695B49" w:rsidP="00695B49">
      <w:pPr>
        <w:jc w:val="both"/>
        <w:rPr>
          <w:rFonts w:ascii="Calibri" w:eastAsia="Calibri" w:hAnsi="Calibri"/>
          <w:bCs/>
          <w:sz w:val="22"/>
          <w:szCs w:val="22"/>
          <w:lang w:eastAsia="en-US"/>
        </w:rPr>
      </w:pPr>
    </w:p>
    <w:p w:rsidR="00695B49" w:rsidRPr="00695B49" w:rsidRDefault="00695B49" w:rsidP="00695B49">
      <w:pPr>
        <w:numPr>
          <w:ilvl w:val="0"/>
          <w:numId w:val="21"/>
        </w:numPr>
        <w:jc w:val="both"/>
        <w:rPr>
          <w:rFonts w:ascii="Calibri" w:eastAsia="Calibri" w:hAnsi="Calibri"/>
          <w:b/>
          <w:bCs/>
          <w:sz w:val="22"/>
          <w:szCs w:val="22"/>
          <w:lang w:eastAsia="en-US"/>
        </w:rPr>
      </w:pPr>
      <w:r w:rsidRPr="00695B49">
        <w:rPr>
          <w:rFonts w:ascii="Calibri" w:eastAsia="Calibri" w:hAnsi="Calibri"/>
          <w:b/>
          <w:bCs/>
          <w:sz w:val="22"/>
          <w:szCs w:val="22"/>
          <w:lang w:eastAsia="en-US"/>
        </w:rPr>
        <w:t>Présentation de l’accord de branche</w:t>
      </w:r>
    </w:p>
    <w:p w:rsidR="007B4600" w:rsidRDefault="007B4600" w:rsidP="00162B6C">
      <w:pPr>
        <w:jc w:val="both"/>
        <w:rPr>
          <w:rFonts w:ascii="Calibri" w:eastAsia="Calibri" w:hAnsi="Calibri"/>
          <w:bCs/>
          <w:sz w:val="22"/>
          <w:szCs w:val="22"/>
          <w:lang w:eastAsia="en-US"/>
        </w:rPr>
      </w:pPr>
    </w:p>
    <w:p w:rsidR="000F2CA9" w:rsidRPr="007B4600" w:rsidRDefault="007B4600" w:rsidP="007B4600">
      <w:pPr>
        <w:ind w:left="1080"/>
        <w:jc w:val="both"/>
        <w:rPr>
          <w:rFonts w:ascii="Calibri" w:eastAsia="Calibri" w:hAnsi="Calibri"/>
          <w:b/>
          <w:bCs/>
          <w:sz w:val="22"/>
          <w:szCs w:val="22"/>
          <w:lang w:eastAsia="en-US"/>
        </w:rPr>
      </w:pPr>
      <w:r w:rsidRPr="007B4600">
        <w:rPr>
          <w:rFonts w:ascii="Calibri" w:eastAsia="Calibri" w:hAnsi="Calibri"/>
          <w:b/>
          <w:bCs/>
          <w:sz w:val="22"/>
          <w:szCs w:val="22"/>
          <w:lang w:eastAsia="en-US"/>
        </w:rPr>
        <w:t>Entrée en vigueur de l’accord de branche du 11 juillet 2013</w:t>
      </w:r>
      <w:r w:rsidR="006F5CAD">
        <w:rPr>
          <w:rFonts w:ascii="Calibri" w:eastAsia="Calibri" w:hAnsi="Calibri"/>
          <w:b/>
          <w:bCs/>
          <w:sz w:val="22"/>
          <w:szCs w:val="22"/>
          <w:lang w:eastAsia="en-US"/>
        </w:rPr>
        <w:t xml:space="preserve"> et durée</w:t>
      </w:r>
    </w:p>
    <w:p w:rsidR="000F2CA9" w:rsidRDefault="000F2CA9" w:rsidP="007B4600">
      <w:pPr>
        <w:ind w:left="1080"/>
        <w:jc w:val="both"/>
        <w:rPr>
          <w:rFonts w:ascii="Calibri" w:eastAsia="Calibri" w:hAnsi="Calibri"/>
          <w:bCs/>
          <w:sz w:val="22"/>
          <w:szCs w:val="22"/>
          <w:lang w:eastAsia="en-US"/>
        </w:rPr>
      </w:pPr>
    </w:p>
    <w:p w:rsidR="00181386" w:rsidRDefault="007B5C62" w:rsidP="00162B6C">
      <w:pPr>
        <w:jc w:val="both"/>
        <w:rPr>
          <w:rFonts w:ascii="Calibri" w:eastAsia="Calibri" w:hAnsi="Calibri"/>
          <w:bCs/>
          <w:sz w:val="22"/>
          <w:szCs w:val="22"/>
          <w:lang w:eastAsia="en-US"/>
        </w:rPr>
      </w:pPr>
      <w:r>
        <w:rPr>
          <w:rFonts w:ascii="Calibri" w:eastAsia="Calibri" w:hAnsi="Calibri"/>
          <w:bCs/>
          <w:sz w:val="22"/>
          <w:szCs w:val="22"/>
          <w:lang w:eastAsia="en-US"/>
        </w:rPr>
        <w:t>L’accord entre en vigueur à compter du 1</w:t>
      </w:r>
      <w:r w:rsidRPr="007B5C62">
        <w:rPr>
          <w:rFonts w:ascii="Calibri" w:eastAsia="Calibri" w:hAnsi="Calibri"/>
          <w:bCs/>
          <w:sz w:val="22"/>
          <w:szCs w:val="22"/>
          <w:vertAlign w:val="superscript"/>
          <w:lang w:eastAsia="en-US"/>
        </w:rPr>
        <w:t>er</w:t>
      </w:r>
      <w:r>
        <w:rPr>
          <w:rFonts w:ascii="Calibri" w:eastAsia="Calibri" w:hAnsi="Calibri"/>
          <w:bCs/>
          <w:sz w:val="22"/>
          <w:szCs w:val="22"/>
          <w:lang w:eastAsia="en-US"/>
        </w:rPr>
        <w:t xml:space="preserve"> ao</w:t>
      </w:r>
      <w:r w:rsidR="00181386">
        <w:rPr>
          <w:rFonts w:ascii="Calibri" w:eastAsia="Calibri" w:hAnsi="Calibri"/>
          <w:bCs/>
          <w:sz w:val="22"/>
          <w:szCs w:val="22"/>
          <w:lang w:eastAsia="en-US"/>
        </w:rPr>
        <w:t>ût 2013. A compter de cette date, les entreprises qui n’ont pas d’accords collectifs peuvent conclu</w:t>
      </w:r>
      <w:r w:rsidR="006F5CAD">
        <w:rPr>
          <w:rFonts w:ascii="Calibri" w:eastAsia="Calibri" w:hAnsi="Calibri"/>
          <w:bCs/>
          <w:sz w:val="22"/>
          <w:szCs w:val="22"/>
          <w:lang w:eastAsia="en-US"/>
        </w:rPr>
        <w:t>rent des conventions de forfait</w:t>
      </w:r>
      <w:r w:rsidR="00181386">
        <w:rPr>
          <w:rFonts w:ascii="Calibri" w:eastAsia="Calibri" w:hAnsi="Calibri"/>
          <w:bCs/>
          <w:sz w:val="22"/>
          <w:szCs w:val="22"/>
          <w:lang w:eastAsia="en-US"/>
        </w:rPr>
        <w:t xml:space="preserve"> en jours selon les modalités expliquées dans la présente circulaire.</w:t>
      </w:r>
    </w:p>
    <w:p w:rsidR="00181386" w:rsidRDefault="00181386" w:rsidP="00162B6C">
      <w:pPr>
        <w:jc w:val="both"/>
        <w:rPr>
          <w:rFonts w:ascii="Calibri" w:eastAsia="Calibri" w:hAnsi="Calibri"/>
          <w:bCs/>
          <w:sz w:val="22"/>
          <w:szCs w:val="22"/>
          <w:lang w:eastAsia="en-US"/>
        </w:rPr>
      </w:pPr>
    </w:p>
    <w:p w:rsidR="007B5C62" w:rsidRDefault="00CF07F4" w:rsidP="00162B6C">
      <w:pPr>
        <w:jc w:val="both"/>
        <w:rPr>
          <w:rFonts w:ascii="Calibri" w:eastAsia="Calibri" w:hAnsi="Calibri"/>
          <w:bCs/>
          <w:sz w:val="22"/>
          <w:szCs w:val="22"/>
          <w:lang w:eastAsia="en-US"/>
        </w:rPr>
      </w:pPr>
      <w:r>
        <w:rPr>
          <w:rFonts w:ascii="Calibri" w:eastAsia="Calibri" w:hAnsi="Calibri"/>
          <w:bCs/>
          <w:sz w:val="22"/>
          <w:szCs w:val="22"/>
          <w:lang w:eastAsia="en-US"/>
        </w:rPr>
        <w:t xml:space="preserve">L’accord </w:t>
      </w:r>
      <w:r w:rsidR="007B5C62">
        <w:rPr>
          <w:rFonts w:ascii="Calibri" w:eastAsia="Calibri" w:hAnsi="Calibri"/>
          <w:bCs/>
          <w:sz w:val="22"/>
          <w:szCs w:val="22"/>
          <w:lang w:eastAsia="en-US"/>
        </w:rPr>
        <w:t>est conclu pour une durée déterminé de</w:t>
      </w:r>
      <w:r w:rsidR="000F2CA9">
        <w:rPr>
          <w:rFonts w:ascii="Calibri" w:eastAsia="Calibri" w:hAnsi="Calibri"/>
          <w:bCs/>
          <w:sz w:val="22"/>
          <w:szCs w:val="22"/>
          <w:lang w:eastAsia="en-US"/>
        </w:rPr>
        <w:t xml:space="preserve"> deux ans jusqu’au 31 juillet 2015, au terme de quoi il devra obligatoirement faire l’objet d’une renégociation</w:t>
      </w:r>
      <w:r w:rsidR="00181386">
        <w:rPr>
          <w:rFonts w:ascii="Calibri" w:eastAsia="Calibri" w:hAnsi="Calibri"/>
          <w:bCs/>
          <w:sz w:val="22"/>
          <w:szCs w:val="22"/>
          <w:lang w:eastAsia="en-US"/>
        </w:rPr>
        <w:t>.</w:t>
      </w:r>
    </w:p>
    <w:p w:rsidR="000F2CA9" w:rsidRDefault="000F2CA9" w:rsidP="00162B6C">
      <w:pPr>
        <w:jc w:val="both"/>
        <w:rPr>
          <w:rFonts w:ascii="Calibri" w:eastAsia="Calibri" w:hAnsi="Calibri"/>
          <w:bCs/>
          <w:sz w:val="22"/>
          <w:szCs w:val="22"/>
          <w:lang w:eastAsia="en-US"/>
        </w:rPr>
      </w:pPr>
    </w:p>
    <w:p w:rsidR="005B5DE2" w:rsidRPr="00332F50" w:rsidRDefault="005B5DE2" w:rsidP="00332F50">
      <w:pPr>
        <w:ind w:left="1080"/>
        <w:jc w:val="both"/>
        <w:rPr>
          <w:rFonts w:ascii="Calibri" w:eastAsia="Calibri" w:hAnsi="Calibri"/>
          <w:b/>
          <w:bCs/>
          <w:sz w:val="22"/>
          <w:szCs w:val="22"/>
          <w:lang w:eastAsia="en-US"/>
        </w:rPr>
      </w:pPr>
      <w:r w:rsidRPr="00332F50">
        <w:rPr>
          <w:rFonts w:ascii="Calibri" w:eastAsia="Calibri" w:hAnsi="Calibri"/>
          <w:b/>
          <w:bCs/>
          <w:sz w:val="22"/>
          <w:szCs w:val="22"/>
          <w:lang w:eastAsia="en-US"/>
        </w:rPr>
        <w:t>Les entreprises concernées</w:t>
      </w:r>
    </w:p>
    <w:p w:rsidR="000F2CA9" w:rsidRDefault="000F2CA9" w:rsidP="00162B6C">
      <w:pPr>
        <w:jc w:val="both"/>
        <w:rPr>
          <w:rFonts w:ascii="Calibri" w:eastAsia="Calibri" w:hAnsi="Calibri"/>
          <w:bCs/>
          <w:sz w:val="22"/>
          <w:szCs w:val="22"/>
          <w:lang w:eastAsia="en-US"/>
        </w:rPr>
      </w:pPr>
    </w:p>
    <w:p w:rsidR="000F2CA9" w:rsidRDefault="000F2CA9" w:rsidP="000F2CA9">
      <w:pPr>
        <w:jc w:val="both"/>
        <w:rPr>
          <w:rFonts w:ascii="Calibri" w:eastAsia="Calibri" w:hAnsi="Calibri"/>
          <w:bCs/>
          <w:sz w:val="22"/>
          <w:szCs w:val="22"/>
          <w:lang w:eastAsia="en-US"/>
        </w:rPr>
      </w:pPr>
      <w:r>
        <w:rPr>
          <w:rFonts w:ascii="Calibri" w:eastAsia="Calibri" w:hAnsi="Calibri"/>
          <w:bCs/>
          <w:sz w:val="22"/>
          <w:szCs w:val="22"/>
          <w:lang w:eastAsia="en-US"/>
        </w:rPr>
        <w:t>L’accord est applicable aux entreprises entrant dans le champ d’application de la convention collective</w:t>
      </w:r>
      <w:r w:rsidR="00181386">
        <w:rPr>
          <w:rFonts w:ascii="Calibri" w:eastAsia="Calibri" w:hAnsi="Calibri"/>
          <w:bCs/>
          <w:sz w:val="22"/>
          <w:szCs w:val="22"/>
          <w:lang w:eastAsia="en-US"/>
        </w:rPr>
        <w:t> : caves coopératives, unions et SICA.</w:t>
      </w:r>
    </w:p>
    <w:p w:rsidR="007B5C62" w:rsidRDefault="007B5C62" w:rsidP="00162B6C">
      <w:pPr>
        <w:jc w:val="both"/>
        <w:rPr>
          <w:rFonts w:ascii="Calibri" w:eastAsia="Calibri" w:hAnsi="Calibri"/>
          <w:bCs/>
          <w:sz w:val="22"/>
          <w:szCs w:val="22"/>
          <w:lang w:eastAsia="en-US"/>
        </w:rPr>
      </w:pPr>
    </w:p>
    <w:p w:rsidR="005B5DE2" w:rsidRPr="004D2043" w:rsidRDefault="005B5DE2" w:rsidP="004D2043">
      <w:pPr>
        <w:ind w:left="1080"/>
        <w:jc w:val="both"/>
        <w:rPr>
          <w:rFonts w:ascii="Calibri" w:eastAsia="Calibri" w:hAnsi="Calibri"/>
          <w:b/>
          <w:bCs/>
          <w:sz w:val="22"/>
          <w:szCs w:val="22"/>
          <w:lang w:eastAsia="en-US"/>
        </w:rPr>
      </w:pPr>
      <w:r w:rsidRPr="004D2043">
        <w:rPr>
          <w:rFonts w:ascii="Calibri" w:eastAsia="Calibri" w:hAnsi="Calibri"/>
          <w:b/>
          <w:bCs/>
          <w:sz w:val="22"/>
          <w:szCs w:val="22"/>
          <w:lang w:eastAsia="en-US"/>
        </w:rPr>
        <w:t>Les salariés concernés</w:t>
      </w:r>
    </w:p>
    <w:p w:rsidR="00695B49" w:rsidRDefault="00695B49" w:rsidP="00162B6C">
      <w:pPr>
        <w:jc w:val="both"/>
        <w:rPr>
          <w:rFonts w:ascii="Calibri" w:eastAsia="Calibri" w:hAnsi="Calibri"/>
          <w:bCs/>
          <w:sz w:val="22"/>
          <w:szCs w:val="22"/>
          <w:lang w:eastAsia="en-US"/>
        </w:rPr>
      </w:pPr>
    </w:p>
    <w:p w:rsidR="00695B49" w:rsidRDefault="00695B49" w:rsidP="00162B6C">
      <w:pPr>
        <w:jc w:val="both"/>
        <w:rPr>
          <w:rFonts w:ascii="Calibri" w:eastAsia="Calibri" w:hAnsi="Calibri"/>
          <w:bCs/>
          <w:sz w:val="22"/>
          <w:szCs w:val="22"/>
          <w:lang w:eastAsia="en-US"/>
        </w:rPr>
      </w:pPr>
      <w:r>
        <w:rPr>
          <w:rFonts w:ascii="Calibri" w:eastAsia="Calibri" w:hAnsi="Calibri"/>
          <w:bCs/>
          <w:sz w:val="22"/>
          <w:szCs w:val="22"/>
          <w:lang w:eastAsia="en-US"/>
        </w:rPr>
        <w:t>Ce sont les cadres ayant la qualification de cadre technique, administratif, commercial ou de direction relevant de la catégorie V « Ingénieurs et cadres » de la classification des emplois de la convention collective : maître de chai, responsable qualité et sécurité alimentaire, responsable de vente, responsable de service, directeur, chef de service etc. (cf. annexe II</w:t>
      </w:r>
      <w:r w:rsidR="004D2043">
        <w:rPr>
          <w:rFonts w:ascii="Calibri" w:eastAsia="Calibri" w:hAnsi="Calibri"/>
          <w:bCs/>
          <w:sz w:val="22"/>
          <w:szCs w:val="22"/>
          <w:lang w:eastAsia="en-US"/>
        </w:rPr>
        <w:t xml:space="preserve"> de la CCN).</w:t>
      </w:r>
    </w:p>
    <w:p w:rsidR="00695B49" w:rsidRDefault="00695B49" w:rsidP="00162B6C">
      <w:pPr>
        <w:jc w:val="both"/>
        <w:rPr>
          <w:rFonts w:ascii="Calibri" w:eastAsia="Calibri" w:hAnsi="Calibri"/>
          <w:bCs/>
          <w:sz w:val="22"/>
          <w:szCs w:val="22"/>
          <w:lang w:eastAsia="en-US"/>
        </w:rPr>
      </w:pPr>
    </w:p>
    <w:p w:rsidR="00695B49" w:rsidRDefault="004D2043" w:rsidP="00162B6C">
      <w:pPr>
        <w:jc w:val="both"/>
        <w:rPr>
          <w:rFonts w:ascii="Calibri" w:eastAsia="Calibri" w:hAnsi="Calibri"/>
          <w:bCs/>
          <w:sz w:val="22"/>
          <w:szCs w:val="22"/>
          <w:lang w:eastAsia="en-US"/>
        </w:rPr>
      </w:pPr>
      <w:r>
        <w:rPr>
          <w:rFonts w:ascii="Calibri" w:eastAsia="Calibri" w:hAnsi="Calibri"/>
          <w:bCs/>
          <w:sz w:val="22"/>
          <w:szCs w:val="22"/>
          <w:lang w:eastAsia="en-US"/>
        </w:rPr>
        <w:t>Nous rappelons que les cadres de direction visés par l’accord sont ceux qui entrent dans le champ de la convention collective, et ne concerne pas les cadres dirigeants soumis à l’APN.</w:t>
      </w:r>
    </w:p>
    <w:p w:rsidR="00695B49" w:rsidRDefault="00695B49" w:rsidP="00162B6C">
      <w:pPr>
        <w:jc w:val="both"/>
        <w:rPr>
          <w:rFonts w:ascii="Calibri" w:eastAsia="Calibri" w:hAnsi="Calibri"/>
          <w:bCs/>
          <w:sz w:val="22"/>
          <w:szCs w:val="22"/>
          <w:lang w:eastAsia="en-US"/>
        </w:rPr>
      </w:pPr>
    </w:p>
    <w:p w:rsidR="007B5C62" w:rsidRPr="007E7D2D" w:rsidRDefault="007E7D2D" w:rsidP="007E7D2D">
      <w:pPr>
        <w:ind w:left="1080"/>
        <w:jc w:val="both"/>
        <w:rPr>
          <w:rFonts w:ascii="Calibri" w:eastAsia="Calibri" w:hAnsi="Calibri"/>
          <w:b/>
          <w:bCs/>
          <w:sz w:val="22"/>
          <w:szCs w:val="22"/>
          <w:lang w:eastAsia="en-US"/>
        </w:rPr>
      </w:pPr>
      <w:r>
        <w:rPr>
          <w:rFonts w:ascii="Calibri" w:eastAsia="Calibri" w:hAnsi="Calibri"/>
          <w:b/>
          <w:bCs/>
          <w:sz w:val="22"/>
          <w:szCs w:val="22"/>
          <w:lang w:eastAsia="en-US"/>
        </w:rPr>
        <w:t xml:space="preserve">Le passage au forfait </w:t>
      </w:r>
      <w:r w:rsidR="007B5C62" w:rsidRPr="007E7D2D">
        <w:rPr>
          <w:rFonts w:ascii="Calibri" w:eastAsia="Calibri" w:hAnsi="Calibri"/>
          <w:b/>
          <w:bCs/>
          <w:sz w:val="22"/>
          <w:szCs w:val="22"/>
          <w:lang w:eastAsia="en-US"/>
        </w:rPr>
        <w:t>jours</w:t>
      </w:r>
    </w:p>
    <w:p w:rsidR="004D2043" w:rsidRDefault="004D2043" w:rsidP="007B5C62">
      <w:pPr>
        <w:jc w:val="both"/>
        <w:rPr>
          <w:rFonts w:ascii="Calibri" w:eastAsia="Calibri" w:hAnsi="Calibri"/>
          <w:bCs/>
          <w:sz w:val="22"/>
          <w:szCs w:val="22"/>
          <w:lang w:eastAsia="en-US"/>
        </w:rPr>
      </w:pPr>
    </w:p>
    <w:p w:rsidR="00D02416" w:rsidRDefault="007E7D2D" w:rsidP="007B5C62">
      <w:pPr>
        <w:jc w:val="both"/>
        <w:rPr>
          <w:rFonts w:ascii="Calibri" w:eastAsia="Calibri" w:hAnsi="Calibri"/>
          <w:bCs/>
          <w:sz w:val="22"/>
          <w:szCs w:val="22"/>
          <w:lang w:eastAsia="en-US"/>
        </w:rPr>
      </w:pPr>
      <w:r>
        <w:rPr>
          <w:rFonts w:ascii="Calibri" w:eastAsia="Calibri" w:hAnsi="Calibri"/>
          <w:bCs/>
          <w:sz w:val="22"/>
          <w:szCs w:val="22"/>
          <w:lang w:eastAsia="en-US"/>
        </w:rPr>
        <w:t xml:space="preserve">Le contrat de travail </w:t>
      </w:r>
      <w:r w:rsidRPr="00D02416">
        <w:rPr>
          <w:rFonts w:ascii="Calibri" w:eastAsia="Calibri" w:hAnsi="Calibri"/>
          <w:b/>
          <w:bCs/>
          <w:sz w:val="22"/>
          <w:szCs w:val="22"/>
          <w:u w:val="single"/>
          <w:lang w:eastAsia="en-US"/>
        </w:rPr>
        <w:t>ou</w:t>
      </w:r>
      <w:r>
        <w:rPr>
          <w:rFonts w:ascii="Calibri" w:eastAsia="Calibri" w:hAnsi="Calibri"/>
          <w:bCs/>
          <w:sz w:val="22"/>
          <w:szCs w:val="22"/>
          <w:lang w:eastAsia="en-US"/>
        </w:rPr>
        <w:t xml:space="preserve"> un avenant à celui-ci formalise ce mode d’organisation du temps de travail ou le passage à une convention de forfait en jours</w:t>
      </w:r>
      <w:r w:rsidR="003B6B98">
        <w:rPr>
          <w:rFonts w:ascii="Calibri" w:eastAsia="Calibri" w:hAnsi="Calibri"/>
          <w:bCs/>
          <w:sz w:val="22"/>
          <w:szCs w:val="22"/>
          <w:lang w:eastAsia="en-US"/>
        </w:rPr>
        <w:t>. Il contient les éléments suivants</w:t>
      </w:r>
      <w:r w:rsidR="003B6B98">
        <w:rPr>
          <w:rStyle w:val="Appelnotedebasdep"/>
          <w:rFonts w:ascii="Calibri" w:eastAsia="Calibri" w:hAnsi="Calibri"/>
          <w:bCs/>
          <w:sz w:val="22"/>
          <w:szCs w:val="22"/>
          <w:lang w:eastAsia="en-US"/>
        </w:rPr>
        <w:footnoteReference w:id="2"/>
      </w:r>
      <w:r w:rsidR="003B6B98">
        <w:rPr>
          <w:rFonts w:ascii="Calibri" w:eastAsia="Calibri" w:hAnsi="Calibri"/>
          <w:bCs/>
          <w:sz w:val="22"/>
          <w:szCs w:val="22"/>
          <w:lang w:eastAsia="en-US"/>
        </w:rPr>
        <w:t> :</w:t>
      </w:r>
    </w:p>
    <w:p w:rsidR="003B6B98" w:rsidRDefault="003B6B98" w:rsidP="007B5C62">
      <w:pPr>
        <w:jc w:val="both"/>
        <w:rPr>
          <w:rFonts w:ascii="Calibri" w:eastAsia="Calibri" w:hAnsi="Calibri"/>
          <w:bCs/>
          <w:sz w:val="22"/>
          <w:szCs w:val="22"/>
          <w:lang w:eastAsia="en-US"/>
        </w:rPr>
      </w:pPr>
    </w:p>
    <w:p w:rsidR="003B6B98" w:rsidRDefault="003B6B98" w:rsidP="003B6B98">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La référence à l’accord collectif de branche</w:t>
      </w:r>
    </w:p>
    <w:p w:rsidR="003B6B98" w:rsidRPr="003B6B98" w:rsidRDefault="003B6B98" w:rsidP="003B6B98">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lastRenderedPageBreak/>
        <w:t>Le n</w:t>
      </w:r>
      <w:r w:rsidRPr="003B6B98">
        <w:rPr>
          <w:rFonts w:ascii="Calibri" w:eastAsia="Calibri" w:hAnsi="Calibri"/>
          <w:bCs/>
          <w:sz w:val="22"/>
          <w:szCs w:val="22"/>
          <w:lang w:eastAsia="en-US"/>
        </w:rPr>
        <w:t>ombre de jours travaillés,</w:t>
      </w:r>
      <w:r>
        <w:rPr>
          <w:rFonts w:ascii="Calibri" w:eastAsia="Calibri" w:hAnsi="Calibri"/>
          <w:bCs/>
          <w:sz w:val="22"/>
          <w:szCs w:val="22"/>
          <w:lang w:eastAsia="en-US"/>
        </w:rPr>
        <w:t xml:space="preserve"> les</w:t>
      </w:r>
      <w:r w:rsidRPr="003B6B98">
        <w:rPr>
          <w:rFonts w:ascii="Calibri" w:eastAsia="Calibri" w:hAnsi="Calibri"/>
          <w:bCs/>
          <w:sz w:val="22"/>
          <w:szCs w:val="22"/>
          <w:lang w:eastAsia="en-US"/>
        </w:rPr>
        <w:t xml:space="preserve"> modalités de décompte de ces jours et des absences, ainsi que les conditions de prises de repos et les possibilités de rachat de repos ;</w:t>
      </w:r>
    </w:p>
    <w:p w:rsidR="003B6B98" w:rsidRPr="003B6B98" w:rsidRDefault="003B6B98" w:rsidP="003B6B98">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La r</w:t>
      </w:r>
      <w:r w:rsidRPr="003B6B98">
        <w:rPr>
          <w:rFonts w:ascii="Calibri" w:eastAsia="Calibri" w:hAnsi="Calibri"/>
          <w:bCs/>
          <w:sz w:val="22"/>
          <w:szCs w:val="22"/>
          <w:lang w:eastAsia="en-US"/>
        </w:rPr>
        <w:t>émunération</w:t>
      </w:r>
      <w:r w:rsidR="00734DC9">
        <w:rPr>
          <w:rFonts w:ascii="Calibri" w:eastAsia="Calibri" w:hAnsi="Calibri"/>
          <w:bCs/>
          <w:sz w:val="22"/>
          <w:szCs w:val="22"/>
          <w:lang w:eastAsia="en-US"/>
        </w:rPr>
        <w:t> ;</w:t>
      </w:r>
    </w:p>
    <w:p w:rsidR="003B6B98" w:rsidRPr="003B6B98" w:rsidRDefault="003B6B98" w:rsidP="003B6B98">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L</w:t>
      </w:r>
      <w:r w:rsidRPr="003B6B98">
        <w:rPr>
          <w:rFonts w:ascii="Calibri" w:eastAsia="Calibri" w:hAnsi="Calibri"/>
          <w:bCs/>
          <w:sz w:val="22"/>
          <w:szCs w:val="22"/>
          <w:lang w:eastAsia="en-US"/>
        </w:rPr>
        <w:t>e salaire minimum d’embauche ;</w:t>
      </w:r>
    </w:p>
    <w:p w:rsidR="003B6B98" w:rsidRDefault="003B6B98" w:rsidP="003B6B98">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L</w:t>
      </w:r>
      <w:r w:rsidRPr="003B6B98">
        <w:rPr>
          <w:rFonts w:ascii="Calibri" w:eastAsia="Calibri" w:hAnsi="Calibri"/>
          <w:bCs/>
          <w:sz w:val="22"/>
          <w:szCs w:val="22"/>
          <w:lang w:eastAsia="en-US"/>
        </w:rPr>
        <w:t>es modalités de surveillance de la charge de travail du salarié, l’adéquation entre le salaire et les responsabilités, l’organisation du travail dans l’entreprise et l’articulation entre les activités professionnelles et la vie personnelle et familiale</w:t>
      </w:r>
      <w:r>
        <w:rPr>
          <w:rFonts w:ascii="Calibri" w:eastAsia="Calibri" w:hAnsi="Calibri"/>
          <w:bCs/>
          <w:sz w:val="22"/>
          <w:szCs w:val="22"/>
          <w:lang w:eastAsia="en-US"/>
        </w:rPr>
        <w:t>.</w:t>
      </w:r>
    </w:p>
    <w:p w:rsidR="005A438D" w:rsidRDefault="005A438D" w:rsidP="007B5C62">
      <w:pPr>
        <w:jc w:val="both"/>
        <w:rPr>
          <w:rFonts w:ascii="Calibri" w:eastAsia="Calibri" w:hAnsi="Calibri"/>
          <w:bCs/>
          <w:sz w:val="22"/>
          <w:szCs w:val="22"/>
          <w:lang w:eastAsia="en-US"/>
        </w:rPr>
      </w:pPr>
    </w:p>
    <w:p w:rsidR="00D02416" w:rsidRDefault="003B6B98" w:rsidP="007B5C62">
      <w:pPr>
        <w:jc w:val="both"/>
        <w:rPr>
          <w:rFonts w:ascii="Calibri" w:eastAsia="Calibri" w:hAnsi="Calibri"/>
          <w:bCs/>
          <w:sz w:val="22"/>
          <w:szCs w:val="22"/>
          <w:lang w:eastAsia="en-US"/>
        </w:rPr>
      </w:pPr>
      <w:r w:rsidRPr="00D02416">
        <w:rPr>
          <w:rFonts w:ascii="Calibri" w:eastAsia="Calibri" w:hAnsi="Calibri"/>
          <w:bCs/>
          <w:sz w:val="22"/>
          <w:szCs w:val="22"/>
          <w:lang w:eastAsia="en-US"/>
        </w:rPr>
        <w:t>L</w:t>
      </w:r>
      <w:r>
        <w:rPr>
          <w:rFonts w:ascii="Calibri" w:eastAsia="Calibri" w:hAnsi="Calibri"/>
          <w:bCs/>
          <w:sz w:val="22"/>
          <w:szCs w:val="22"/>
          <w:lang w:eastAsia="en-US"/>
        </w:rPr>
        <w:t xml:space="preserve">a CCVF met à votre disposition, en annexe à la présente circulaire, </w:t>
      </w:r>
      <w:r w:rsidR="00CF07F4">
        <w:rPr>
          <w:rFonts w:ascii="Calibri" w:eastAsia="Calibri" w:hAnsi="Calibri"/>
          <w:bCs/>
          <w:sz w:val="22"/>
          <w:szCs w:val="22"/>
          <w:lang w:eastAsia="en-US"/>
        </w:rPr>
        <w:t>un</w:t>
      </w:r>
      <w:r w:rsidRPr="00D02416">
        <w:rPr>
          <w:rFonts w:ascii="Calibri" w:eastAsia="Calibri" w:hAnsi="Calibri"/>
          <w:bCs/>
          <w:sz w:val="22"/>
          <w:szCs w:val="22"/>
          <w:lang w:eastAsia="en-US"/>
        </w:rPr>
        <w:t xml:space="preserve"> </w:t>
      </w:r>
      <w:r w:rsidR="00CF07F4">
        <w:rPr>
          <w:rFonts w:ascii="Calibri" w:eastAsia="Calibri" w:hAnsi="Calibri"/>
          <w:bCs/>
          <w:sz w:val="22"/>
          <w:szCs w:val="22"/>
          <w:lang w:eastAsia="en-US"/>
        </w:rPr>
        <w:t>modèle</w:t>
      </w:r>
      <w:r w:rsidRPr="00D02416">
        <w:rPr>
          <w:rFonts w:ascii="Calibri" w:eastAsia="Calibri" w:hAnsi="Calibri"/>
          <w:bCs/>
          <w:sz w:val="22"/>
          <w:szCs w:val="22"/>
          <w:lang w:eastAsia="en-US"/>
        </w:rPr>
        <w:t xml:space="preserve"> de convention individuelle, pour le salarié cadre nouvel embauché</w:t>
      </w:r>
      <w:r w:rsidR="006F5CAD">
        <w:rPr>
          <w:rFonts w:ascii="Calibri" w:eastAsia="Calibri" w:hAnsi="Calibri"/>
          <w:bCs/>
          <w:sz w:val="22"/>
          <w:szCs w:val="22"/>
          <w:lang w:eastAsia="en-US"/>
        </w:rPr>
        <w:t xml:space="preserve"> (à annexer au contrat de travail)</w:t>
      </w:r>
      <w:r w:rsidRPr="00D02416">
        <w:rPr>
          <w:rFonts w:ascii="Calibri" w:eastAsia="Calibri" w:hAnsi="Calibri"/>
          <w:bCs/>
          <w:sz w:val="22"/>
          <w:szCs w:val="22"/>
          <w:lang w:eastAsia="en-US"/>
        </w:rPr>
        <w:t>, et pour le salarié cadre déjà dans l’entreprise et qui passe au forfait jours.</w:t>
      </w:r>
    </w:p>
    <w:p w:rsidR="003B6B98" w:rsidRDefault="003B6B98" w:rsidP="007B5C62">
      <w:pPr>
        <w:jc w:val="both"/>
        <w:rPr>
          <w:rFonts w:ascii="Calibri" w:eastAsia="Calibri" w:hAnsi="Calibri"/>
          <w:bCs/>
          <w:sz w:val="22"/>
          <w:szCs w:val="22"/>
          <w:lang w:eastAsia="en-US"/>
        </w:rPr>
      </w:pPr>
    </w:p>
    <w:p w:rsidR="007E7D2D" w:rsidRDefault="007E7D2D" w:rsidP="007B5C62">
      <w:pPr>
        <w:jc w:val="both"/>
        <w:rPr>
          <w:rFonts w:ascii="Calibri" w:eastAsia="Calibri" w:hAnsi="Calibri"/>
          <w:bCs/>
          <w:sz w:val="22"/>
          <w:szCs w:val="22"/>
          <w:lang w:eastAsia="en-US"/>
        </w:rPr>
      </w:pPr>
      <w:r>
        <w:rPr>
          <w:rFonts w:ascii="Calibri" w:eastAsia="Calibri" w:hAnsi="Calibri"/>
          <w:bCs/>
          <w:sz w:val="22"/>
          <w:szCs w:val="22"/>
          <w:lang w:eastAsia="en-US"/>
        </w:rPr>
        <w:t>Le passage au forfait jours nécessite l’accord exprès écrit du salarié, ce dernier peut refuser de signer la convention individuelle de forfait</w:t>
      </w:r>
      <w:r w:rsidR="00D02416">
        <w:rPr>
          <w:rFonts w:ascii="Calibri" w:eastAsia="Calibri" w:hAnsi="Calibri"/>
          <w:bCs/>
          <w:sz w:val="22"/>
          <w:szCs w:val="22"/>
          <w:lang w:eastAsia="en-US"/>
        </w:rPr>
        <w:t xml:space="preserve">. </w:t>
      </w:r>
      <w:r w:rsidR="003B6B98">
        <w:rPr>
          <w:rFonts w:ascii="Calibri" w:eastAsia="Calibri" w:hAnsi="Calibri"/>
          <w:bCs/>
          <w:sz w:val="22"/>
          <w:szCs w:val="22"/>
          <w:lang w:eastAsia="en-US"/>
        </w:rPr>
        <w:t>La signature d’une convention individuelle écrite et signée du salarié et de l’employeur est impérative. En cas de refus, l</w:t>
      </w:r>
      <w:r w:rsidR="00D02416">
        <w:rPr>
          <w:rFonts w:ascii="Calibri" w:eastAsia="Calibri" w:hAnsi="Calibri"/>
          <w:bCs/>
          <w:sz w:val="22"/>
          <w:szCs w:val="22"/>
          <w:lang w:eastAsia="en-US"/>
        </w:rPr>
        <w:t>’employeur ne peut ni lui appliquer le forfait, ni le sanctionner.</w:t>
      </w:r>
    </w:p>
    <w:p w:rsidR="00D02416" w:rsidRDefault="00D02416" w:rsidP="007B5C62">
      <w:pPr>
        <w:jc w:val="both"/>
        <w:rPr>
          <w:rFonts w:ascii="Calibri" w:eastAsia="Calibri" w:hAnsi="Calibri"/>
          <w:bCs/>
          <w:sz w:val="22"/>
          <w:szCs w:val="22"/>
          <w:lang w:eastAsia="en-US"/>
        </w:rPr>
      </w:pPr>
    </w:p>
    <w:p w:rsidR="00D02416" w:rsidRDefault="00D02416" w:rsidP="007B5C62">
      <w:pPr>
        <w:jc w:val="both"/>
        <w:rPr>
          <w:rFonts w:ascii="Calibri" w:eastAsia="Calibri" w:hAnsi="Calibri"/>
          <w:bCs/>
          <w:sz w:val="22"/>
          <w:szCs w:val="22"/>
          <w:lang w:eastAsia="en-US"/>
        </w:rPr>
      </w:pPr>
      <w:r>
        <w:rPr>
          <w:rFonts w:ascii="Calibri" w:eastAsia="Calibri" w:hAnsi="Calibri"/>
          <w:bCs/>
          <w:sz w:val="22"/>
          <w:szCs w:val="22"/>
          <w:lang w:eastAsia="en-US"/>
        </w:rPr>
        <w:t>Conformément à l’article 3 de l’accord, le comité d’entreprise ou les délégués du personnel doivent être consultés chaque année sur les recours aux conventions de forfait jours, ainsi que sur les modalités de suivi de charge de travail des salariés concernés.</w:t>
      </w:r>
    </w:p>
    <w:p w:rsidR="007B5C62" w:rsidRDefault="007B5C62" w:rsidP="00162B6C">
      <w:pPr>
        <w:jc w:val="both"/>
        <w:rPr>
          <w:rFonts w:ascii="Calibri" w:eastAsia="Calibri" w:hAnsi="Calibri"/>
          <w:bCs/>
          <w:sz w:val="22"/>
          <w:szCs w:val="22"/>
          <w:lang w:eastAsia="en-US"/>
        </w:rPr>
      </w:pPr>
    </w:p>
    <w:p w:rsidR="005B5DE2" w:rsidRPr="00734DC9" w:rsidRDefault="005B5DE2" w:rsidP="00734DC9">
      <w:pPr>
        <w:ind w:left="1080"/>
        <w:jc w:val="both"/>
        <w:rPr>
          <w:rFonts w:ascii="Calibri" w:eastAsia="Calibri" w:hAnsi="Calibri"/>
          <w:b/>
          <w:bCs/>
          <w:sz w:val="22"/>
          <w:szCs w:val="22"/>
          <w:lang w:eastAsia="en-US"/>
        </w:rPr>
      </w:pPr>
      <w:r w:rsidRPr="00734DC9">
        <w:rPr>
          <w:rFonts w:ascii="Calibri" w:eastAsia="Calibri" w:hAnsi="Calibri"/>
          <w:b/>
          <w:bCs/>
          <w:sz w:val="22"/>
          <w:szCs w:val="22"/>
          <w:lang w:eastAsia="en-US"/>
        </w:rPr>
        <w:t>La durée du travail</w:t>
      </w:r>
    </w:p>
    <w:p w:rsidR="005A438D" w:rsidRDefault="005A438D" w:rsidP="00162B6C">
      <w:pPr>
        <w:jc w:val="both"/>
        <w:rPr>
          <w:rFonts w:ascii="Calibri" w:eastAsia="Calibri" w:hAnsi="Calibri"/>
          <w:bCs/>
          <w:sz w:val="22"/>
          <w:szCs w:val="22"/>
          <w:lang w:eastAsia="en-US"/>
        </w:rPr>
      </w:pPr>
    </w:p>
    <w:p w:rsidR="00734DC9" w:rsidRDefault="00734DC9" w:rsidP="00162B6C">
      <w:pPr>
        <w:jc w:val="both"/>
        <w:rPr>
          <w:rFonts w:ascii="Calibri" w:eastAsia="Calibri" w:hAnsi="Calibri"/>
          <w:bCs/>
          <w:i/>
          <w:sz w:val="22"/>
          <w:szCs w:val="22"/>
          <w:lang w:eastAsia="en-US"/>
        </w:rPr>
      </w:pPr>
      <w:r w:rsidRPr="00734DC9">
        <w:rPr>
          <w:rFonts w:ascii="Calibri" w:eastAsia="Calibri" w:hAnsi="Calibri"/>
          <w:bCs/>
          <w:i/>
          <w:sz w:val="22"/>
          <w:szCs w:val="22"/>
          <w:lang w:eastAsia="en-US"/>
        </w:rPr>
        <w:t>Nombre de jours travaillés</w:t>
      </w:r>
    </w:p>
    <w:p w:rsidR="00734DC9" w:rsidRPr="00734DC9" w:rsidRDefault="00734DC9" w:rsidP="00162B6C">
      <w:pPr>
        <w:jc w:val="both"/>
        <w:rPr>
          <w:rFonts w:ascii="Calibri" w:eastAsia="Calibri" w:hAnsi="Calibri"/>
          <w:bCs/>
          <w:i/>
          <w:sz w:val="22"/>
          <w:szCs w:val="22"/>
          <w:lang w:eastAsia="en-US"/>
        </w:rPr>
      </w:pPr>
    </w:p>
    <w:p w:rsidR="005A438D" w:rsidRDefault="00734DC9" w:rsidP="00162B6C">
      <w:pPr>
        <w:jc w:val="both"/>
        <w:rPr>
          <w:rFonts w:ascii="Calibri" w:eastAsia="Calibri" w:hAnsi="Calibri"/>
          <w:bCs/>
          <w:sz w:val="22"/>
          <w:szCs w:val="22"/>
          <w:lang w:eastAsia="en-US"/>
        </w:rPr>
      </w:pPr>
      <w:r>
        <w:rPr>
          <w:rFonts w:ascii="Calibri" w:eastAsia="Calibri" w:hAnsi="Calibri"/>
          <w:bCs/>
          <w:sz w:val="22"/>
          <w:szCs w:val="22"/>
          <w:lang w:eastAsia="en-US"/>
        </w:rPr>
        <w:t xml:space="preserve">Le nombre de jours de travail fixé par l’accord de branche est de </w:t>
      </w:r>
      <w:r w:rsidRPr="00734DC9">
        <w:rPr>
          <w:rFonts w:ascii="Calibri" w:eastAsia="Calibri" w:hAnsi="Calibri"/>
          <w:b/>
          <w:bCs/>
          <w:sz w:val="22"/>
          <w:szCs w:val="22"/>
          <w:lang w:eastAsia="en-US"/>
        </w:rPr>
        <w:t>218 jours</w:t>
      </w:r>
      <w:r>
        <w:rPr>
          <w:rFonts w:ascii="Calibri" w:eastAsia="Calibri" w:hAnsi="Calibri"/>
          <w:bCs/>
          <w:sz w:val="22"/>
          <w:szCs w:val="22"/>
          <w:lang w:eastAsia="en-US"/>
        </w:rPr>
        <w:t>.</w:t>
      </w:r>
    </w:p>
    <w:p w:rsidR="00734DC9" w:rsidRDefault="00734DC9" w:rsidP="00162B6C">
      <w:pPr>
        <w:jc w:val="both"/>
        <w:rPr>
          <w:rFonts w:ascii="Calibri" w:eastAsia="Calibri" w:hAnsi="Calibri"/>
          <w:bCs/>
          <w:sz w:val="22"/>
          <w:szCs w:val="22"/>
          <w:lang w:eastAsia="en-US"/>
        </w:rPr>
      </w:pPr>
    </w:p>
    <w:p w:rsidR="00734DC9" w:rsidRDefault="00734DC9" w:rsidP="00162B6C">
      <w:pPr>
        <w:jc w:val="both"/>
        <w:rPr>
          <w:rFonts w:ascii="Calibri" w:eastAsia="Calibri" w:hAnsi="Calibri"/>
          <w:bCs/>
          <w:sz w:val="22"/>
          <w:szCs w:val="22"/>
          <w:lang w:eastAsia="en-US"/>
        </w:rPr>
      </w:pPr>
      <w:r>
        <w:rPr>
          <w:rFonts w:ascii="Calibri" w:eastAsia="Calibri" w:hAnsi="Calibri"/>
          <w:bCs/>
          <w:sz w:val="22"/>
          <w:szCs w:val="22"/>
          <w:lang w:eastAsia="en-US"/>
        </w:rPr>
        <w:t xml:space="preserve">Le nombre de jours de travail fixé dans la convention individuelle de forfait ne peut pas dépasser celui prévu par l’accord de branche (art.L.3121-44 du Code du travail). </w:t>
      </w:r>
      <w:r w:rsidR="00B06DFD">
        <w:rPr>
          <w:rFonts w:ascii="Calibri" w:eastAsia="Calibri" w:hAnsi="Calibri"/>
          <w:bCs/>
          <w:sz w:val="22"/>
          <w:szCs w:val="22"/>
          <w:lang w:eastAsia="en-US"/>
        </w:rPr>
        <w:t>En revanche, l</w:t>
      </w:r>
      <w:r w:rsidR="008F6C06">
        <w:rPr>
          <w:rFonts w:ascii="Calibri" w:eastAsia="Calibri" w:hAnsi="Calibri"/>
          <w:bCs/>
          <w:sz w:val="22"/>
          <w:szCs w:val="22"/>
          <w:lang w:eastAsia="en-US"/>
        </w:rPr>
        <w:t>a convention individuelle peut prévoir un temps de travail inférieur au plafond fixé par l’accord de branche.</w:t>
      </w:r>
      <w:r w:rsidR="00B06DFD">
        <w:rPr>
          <w:rFonts w:ascii="Calibri" w:eastAsia="Calibri" w:hAnsi="Calibri"/>
          <w:bCs/>
          <w:sz w:val="22"/>
          <w:szCs w:val="22"/>
          <w:lang w:eastAsia="en-US"/>
        </w:rPr>
        <w:t xml:space="preserve"> </w:t>
      </w:r>
    </w:p>
    <w:p w:rsidR="00734DC9" w:rsidRDefault="00734DC9" w:rsidP="00162B6C">
      <w:pPr>
        <w:jc w:val="both"/>
        <w:rPr>
          <w:rFonts w:ascii="Calibri" w:eastAsia="Calibri" w:hAnsi="Calibri"/>
          <w:bCs/>
          <w:sz w:val="22"/>
          <w:szCs w:val="22"/>
          <w:lang w:eastAsia="en-US"/>
        </w:rPr>
      </w:pPr>
    </w:p>
    <w:p w:rsidR="00734DC9" w:rsidRDefault="00734DC9" w:rsidP="00162B6C">
      <w:pPr>
        <w:jc w:val="both"/>
        <w:rPr>
          <w:rFonts w:ascii="Calibri" w:eastAsia="Calibri" w:hAnsi="Calibri"/>
          <w:bCs/>
          <w:sz w:val="22"/>
          <w:szCs w:val="22"/>
          <w:lang w:eastAsia="en-US"/>
        </w:rPr>
      </w:pPr>
      <w:r>
        <w:rPr>
          <w:rFonts w:ascii="Calibri" w:eastAsia="Calibri" w:hAnsi="Calibri"/>
          <w:bCs/>
          <w:sz w:val="22"/>
          <w:szCs w:val="22"/>
          <w:lang w:eastAsia="en-US"/>
        </w:rPr>
        <w:t>La journée de solidarité</w:t>
      </w:r>
      <w:r w:rsidR="008F6C06">
        <w:rPr>
          <w:rFonts w:ascii="Calibri" w:eastAsia="Calibri" w:hAnsi="Calibri"/>
          <w:bCs/>
          <w:sz w:val="22"/>
          <w:szCs w:val="22"/>
          <w:lang w:eastAsia="en-US"/>
        </w:rPr>
        <w:t xml:space="preserve"> </w:t>
      </w:r>
      <w:r>
        <w:rPr>
          <w:rFonts w:ascii="Calibri" w:eastAsia="Calibri" w:hAnsi="Calibri"/>
          <w:bCs/>
          <w:sz w:val="22"/>
          <w:szCs w:val="22"/>
          <w:lang w:eastAsia="en-US"/>
        </w:rPr>
        <w:t>est inclue</w:t>
      </w:r>
      <w:r w:rsidR="008F6C06">
        <w:rPr>
          <w:rFonts w:ascii="Calibri" w:eastAsia="Calibri" w:hAnsi="Calibri"/>
          <w:bCs/>
          <w:sz w:val="22"/>
          <w:szCs w:val="22"/>
          <w:lang w:eastAsia="en-US"/>
        </w:rPr>
        <w:t xml:space="preserve"> à ce forfait.</w:t>
      </w:r>
    </w:p>
    <w:p w:rsidR="008F6C06" w:rsidRDefault="008F6C06" w:rsidP="00162B6C">
      <w:pPr>
        <w:jc w:val="both"/>
        <w:rPr>
          <w:rFonts w:ascii="Calibri" w:eastAsia="Calibri" w:hAnsi="Calibri"/>
          <w:bCs/>
          <w:sz w:val="22"/>
          <w:szCs w:val="22"/>
          <w:lang w:eastAsia="en-US"/>
        </w:rPr>
      </w:pPr>
    </w:p>
    <w:p w:rsidR="008F6C06" w:rsidRDefault="008F6C06" w:rsidP="00162B6C">
      <w:pPr>
        <w:jc w:val="both"/>
        <w:rPr>
          <w:rFonts w:ascii="Calibri" w:eastAsia="Calibri" w:hAnsi="Calibri"/>
          <w:bCs/>
          <w:sz w:val="22"/>
          <w:szCs w:val="22"/>
          <w:lang w:eastAsia="en-US"/>
        </w:rPr>
      </w:pPr>
      <w:r>
        <w:rPr>
          <w:rFonts w:ascii="Calibri" w:eastAsia="Calibri" w:hAnsi="Calibri"/>
          <w:bCs/>
          <w:sz w:val="22"/>
          <w:szCs w:val="22"/>
          <w:lang w:eastAsia="en-US"/>
        </w:rPr>
        <w:t>L’</w:t>
      </w:r>
      <w:r w:rsidR="0087383D">
        <w:rPr>
          <w:rFonts w:ascii="Calibri" w:eastAsia="Calibri" w:hAnsi="Calibri"/>
          <w:bCs/>
          <w:sz w:val="22"/>
          <w:szCs w:val="22"/>
          <w:lang w:eastAsia="en-US"/>
        </w:rPr>
        <w:t xml:space="preserve">article 5 </w:t>
      </w:r>
      <w:r>
        <w:rPr>
          <w:rFonts w:ascii="Calibri" w:eastAsia="Calibri" w:hAnsi="Calibri"/>
          <w:bCs/>
          <w:sz w:val="22"/>
          <w:szCs w:val="22"/>
          <w:lang w:eastAsia="en-US"/>
        </w:rPr>
        <w:t>de l’accord précise qu’en cas d’embauche ou du départ du salarié concerné en cours d’année, et sous réserve de droits complets à congés payés, le nombre de jours travaillés s’effectue au prorata</w:t>
      </w:r>
      <w:r w:rsidR="006C214B">
        <w:rPr>
          <w:rFonts w:ascii="Calibri" w:eastAsia="Calibri" w:hAnsi="Calibri"/>
          <w:bCs/>
          <w:sz w:val="22"/>
          <w:szCs w:val="22"/>
          <w:lang w:eastAsia="en-US"/>
        </w:rPr>
        <w:t xml:space="preserve"> du temps passé</w:t>
      </w:r>
      <w:r>
        <w:rPr>
          <w:rFonts w:ascii="Calibri" w:eastAsia="Calibri" w:hAnsi="Calibri"/>
          <w:bCs/>
          <w:sz w:val="22"/>
          <w:szCs w:val="22"/>
          <w:lang w:eastAsia="en-US"/>
        </w:rPr>
        <w:t>.</w:t>
      </w:r>
    </w:p>
    <w:p w:rsidR="006C214B" w:rsidRDefault="006C214B" w:rsidP="00162B6C">
      <w:pPr>
        <w:jc w:val="both"/>
        <w:rPr>
          <w:rFonts w:ascii="Calibri" w:eastAsia="Calibri" w:hAnsi="Calibri"/>
          <w:bCs/>
          <w:sz w:val="22"/>
          <w:szCs w:val="22"/>
          <w:lang w:eastAsia="en-US"/>
        </w:rPr>
      </w:pPr>
    </w:p>
    <w:p w:rsidR="00462C47" w:rsidRDefault="00462C47" w:rsidP="00162B6C">
      <w:pPr>
        <w:jc w:val="both"/>
        <w:rPr>
          <w:rFonts w:ascii="Calibri" w:eastAsia="Calibri" w:hAnsi="Calibri"/>
          <w:bCs/>
          <w:i/>
          <w:sz w:val="22"/>
          <w:szCs w:val="22"/>
          <w:lang w:eastAsia="en-US"/>
        </w:rPr>
      </w:pPr>
      <w:r>
        <w:rPr>
          <w:rFonts w:ascii="Calibri" w:eastAsia="Calibri" w:hAnsi="Calibri"/>
          <w:bCs/>
          <w:i/>
          <w:sz w:val="22"/>
          <w:szCs w:val="22"/>
          <w:lang w:eastAsia="en-US"/>
        </w:rPr>
        <w:t>Décompte des jours travaillés</w:t>
      </w:r>
    </w:p>
    <w:p w:rsidR="00462C47" w:rsidRDefault="00462C47" w:rsidP="00162B6C">
      <w:pPr>
        <w:jc w:val="both"/>
        <w:rPr>
          <w:rFonts w:ascii="Calibri" w:eastAsia="Calibri" w:hAnsi="Calibri"/>
          <w:bCs/>
          <w:i/>
          <w:sz w:val="22"/>
          <w:szCs w:val="22"/>
          <w:lang w:eastAsia="en-US"/>
        </w:rPr>
      </w:pPr>
    </w:p>
    <w:p w:rsidR="00CE6F93" w:rsidRDefault="00CE6F93" w:rsidP="00CE6F93">
      <w:pPr>
        <w:jc w:val="both"/>
        <w:rPr>
          <w:rFonts w:ascii="Calibri" w:eastAsia="Calibri" w:hAnsi="Calibri"/>
          <w:bCs/>
          <w:sz w:val="22"/>
          <w:szCs w:val="22"/>
          <w:lang w:eastAsia="en-US"/>
        </w:rPr>
      </w:pPr>
      <w:r>
        <w:rPr>
          <w:rFonts w:ascii="Calibri" w:eastAsia="Calibri" w:hAnsi="Calibri"/>
          <w:bCs/>
          <w:sz w:val="22"/>
          <w:szCs w:val="22"/>
          <w:lang w:eastAsia="en-US"/>
        </w:rPr>
        <w:t>Les jours de travail se décomptent dans le cadre de la journée civile qui débute à 0 heure et se finit à 24 heures.</w:t>
      </w:r>
    </w:p>
    <w:p w:rsidR="008C4DBD" w:rsidRDefault="008C4DBD" w:rsidP="00CE6F93">
      <w:pPr>
        <w:jc w:val="both"/>
        <w:rPr>
          <w:rFonts w:ascii="Calibri" w:eastAsia="Calibri" w:hAnsi="Calibri"/>
          <w:bCs/>
          <w:sz w:val="22"/>
          <w:szCs w:val="22"/>
          <w:lang w:eastAsia="en-US"/>
        </w:rPr>
      </w:pPr>
    </w:p>
    <w:p w:rsidR="008C4DBD" w:rsidRPr="00462C47" w:rsidRDefault="008C4DBD" w:rsidP="00CE6F93">
      <w:pPr>
        <w:jc w:val="both"/>
        <w:rPr>
          <w:rFonts w:ascii="Calibri" w:eastAsia="Calibri" w:hAnsi="Calibri"/>
          <w:bCs/>
          <w:sz w:val="22"/>
          <w:szCs w:val="22"/>
          <w:lang w:eastAsia="en-US"/>
        </w:rPr>
      </w:pPr>
      <w:r>
        <w:rPr>
          <w:rFonts w:ascii="Calibri" w:eastAsia="Calibri" w:hAnsi="Calibri"/>
          <w:bCs/>
          <w:sz w:val="22"/>
          <w:szCs w:val="22"/>
          <w:lang w:eastAsia="en-US"/>
        </w:rPr>
        <w:t xml:space="preserve">La demi-journée correspond à un cycle de travail pouvant aller jusqu’à 13h de l’après-midi ou débutant </w:t>
      </w:r>
      <w:r w:rsidRPr="008C4DBD">
        <w:rPr>
          <w:rFonts w:ascii="Calibri" w:eastAsia="Calibri" w:hAnsi="Calibri"/>
          <w:bCs/>
          <w:sz w:val="22"/>
          <w:szCs w:val="22"/>
          <w:lang w:eastAsia="en-US"/>
        </w:rPr>
        <w:t>à 13h de l’après-midi</w:t>
      </w:r>
      <w:r>
        <w:rPr>
          <w:rFonts w:ascii="Calibri" w:eastAsia="Calibri" w:hAnsi="Calibri"/>
          <w:bCs/>
          <w:sz w:val="22"/>
          <w:szCs w:val="22"/>
          <w:lang w:eastAsia="en-US"/>
        </w:rPr>
        <w:t>.</w:t>
      </w:r>
    </w:p>
    <w:p w:rsidR="00922E2D" w:rsidRDefault="00922E2D" w:rsidP="00162B6C">
      <w:pPr>
        <w:jc w:val="both"/>
        <w:rPr>
          <w:rFonts w:ascii="Calibri" w:eastAsia="Calibri" w:hAnsi="Calibri"/>
          <w:bCs/>
          <w:sz w:val="22"/>
          <w:szCs w:val="22"/>
          <w:lang w:eastAsia="en-US"/>
        </w:rPr>
      </w:pPr>
    </w:p>
    <w:p w:rsidR="00462C47" w:rsidRDefault="00462C47" w:rsidP="00162B6C">
      <w:pPr>
        <w:jc w:val="both"/>
        <w:rPr>
          <w:rFonts w:ascii="Calibri" w:eastAsia="Calibri" w:hAnsi="Calibri"/>
          <w:bCs/>
          <w:sz w:val="22"/>
          <w:szCs w:val="22"/>
          <w:lang w:eastAsia="en-US"/>
        </w:rPr>
      </w:pPr>
      <w:r>
        <w:rPr>
          <w:rFonts w:ascii="Calibri" w:eastAsia="Calibri" w:hAnsi="Calibri"/>
          <w:bCs/>
          <w:sz w:val="22"/>
          <w:szCs w:val="22"/>
          <w:lang w:eastAsia="en-US"/>
        </w:rPr>
        <w:t>Ce décompte se fait sur l’année civile ou sur celle d’une période de 12 mois fixée par la convention individuelle de forfait</w:t>
      </w:r>
      <w:r w:rsidR="00CE6F93">
        <w:rPr>
          <w:rFonts w:ascii="Calibri" w:eastAsia="Calibri" w:hAnsi="Calibri"/>
          <w:bCs/>
          <w:sz w:val="22"/>
          <w:szCs w:val="22"/>
          <w:lang w:eastAsia="en-US"/>
        </w:rPr>
        <w:t>.</w:t>
      </w:r>
    </w:p>
    <w:p w:rsidR="00B06DFD" w:rsidRDefault="00B06DFD" w:rsidP="00162B6C">
      <w:pPr>
        <w:jc w:val="both"/>
        <w:rPr>
          <w:rFonts w:ascii="Calibri" w:eastAsia="Calibri" w:hAnsi="Calibri"/>
          <w:bCs/>
          <w:sz w:val="22"/>
          <w:szCs w:val="22"/>
          <w:lang w:eastAsia="en-US"/>
        </w:rPr>
      </w:pPr>
    </w:p>
    <w:p w:rsidR="00922E2D" w:rsidRDefault="00922E2D" w:rsidP="00162B6C">
      <w:pPr>
        <w:jc w:val="both"/>
        <w:rPr>
          <w:rFonts w:ascii="Calibri" w:eastAsia="Calibri" w:hAnsi="Calibri"/>
          <w:bCs/>
          <w:sz w:val="22"/>
          <w:szCs w:val="22"/>
          <w:lang w:eastAsia="en-US"/>
        </w:rPr>
      </w:pPr>
      <w:r>
        <w:rPr>
          <w:rFonts w:ascii="Calibri" w:eastAsia="Calibri" w:hAnsi="Calibri"/>
          <w:bCs/>
          <w:sz w:val="22"/>
          <w:szCs w:val="22"/>
          <w:lang w:eastAsia="en-US"/>
        </w:rPr>
        <w:t>Les absences suivantes sont déduites du nombre annuel de jours fixé dans la convention individuelle :</w:t>
      </w:r>
    </w:p>
    <w:p w:rsidR="00922E2D" w:rsidRDefault="00922E2D" w:rsidP="00922E2D">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Jours d’absence pour maladie</w:t>
      </w:r>
    </w:p>
    <w:p w:rsidR="00922E2D" w:rsidRDefault="00922E2D" w:rsidP="00922E2D">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Absences indemnisées</w:t>
      </w:r>
    </w:p>
    <w:p w:rsidR="00922E2D" w:rsidRDefault="00922E2D" w:rsidP="00922E2D">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lastRenderedPageBreak/>
        <w:t>Congés</w:t>
      </w:r>
    </w:p>
    <w:p w:rsidR="00922E2D" w:rsidRDefault="00922E2D" w:rsidP="00922E2D">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Autorisations d’absence d’origine conventionnelle</w:t>
      </w:r>
    </w:p>
    <w:p w:rsidR="00922E2D" w:rsidRDefault="00922E2D" w:rsidP="00922E2D">
      <w:pPr>
        <w:jc w:val="both"/>
        <w:rPr>
          <w:rFonts w:ascii="Calibri" w:eastAsia="Calibri" w:hAnsi="Calibri"/>
          <w:bCs/>
          <w:sz w:val="22"/>
          <w:szCs w:val="22"/>
          <w:lang w:eastAsia="en-US"/>
        </w:rPr>
      </w:pPr>
    </w:p>
    <w:p w:rsidR="00922E2D" w:rsidRDefault="00922E2D" w:rsidP="00922E2D">
      <w:pPr>
        <w:jc w:val="both"/>
        <w:rPr>
          <w:rFonts w:ascii="Calibri" w:eastAsia="Calibri" w:hAnsi="Calibri"/>
          <w:bCs/>
          <w:sz w:val="22"/>
          <w:szCs w:val="22"/>
          <w:lang w:eastAsia="en-US"/>
        </w:rPr>
      </w:pPr>
      <w:r>
        <w:rPr>
          <w:rFonts w:ascii="Calibri" w:eastAsia="Calibri" w:hAnsi="Calibri"/>
          <w:bCs/>
          <w:sz w:val="22"/>
          <w:szCs w:val="22"/>
          <w:lang w:eastAsia="en-US"/>
        </w:rPr>
        <w:t>Ces congés et absences ne réduisent pas le nombre de jours de repos.</w:t>
      </w:r>
    </w:p>
    <w:p w:rsidR="00922E2D" w:rsidRDefault="00922E2D" w:rsidP="00922E2D">
      <w:pPr>
        <w:jc w:val="both"/>
        <w:rPr>
          <w:rFonts w:ascii="Calibri" w:eastAsia="Calibri" w:hAnsi="Calibri"/>
          <w:bCs/>
          <w:sz w:val="22"/>
          <w:szCs w:val="22"/>
          <w:lang w:eastAsia="en-US"/>
        </w:rPr>
      </w:pPr>
    </w:p>
    <w:p w:rsidR="00922E2D" w:rsidRPr="0087383D" w:rsidRDefault="00922E2D" w:rsidP="0087383D">
      <w:pPr>
        <w:pBdr>
          <w:top w:val="single" w:sz="4" w:space="1" w:color="auto"/>
          <w:left w:val="single" w:sz="4" w:space="4" w:color="auto"/>
          <w:bottom w:val="single" w:sz="4" w:space="1" w:color="auto"/>
          <w:right w:val="single" w:sz="4" w:space="4" w:color="auto"/>
        </w:pBdr>
        <w:jc w:val="both"/>
        <w:rPr>
          <w:rFonts w:ascii="Calibri" w:eastAsia="Calibri" w:hAnsi="Calibri"/>
          <w:bCs/>
          <w:i/>
          <w:sz w:val="22"/>
          <w:szCs w:val="22"/>
          <w:lang w:eastAsia="en-US"/>
        </w:rPr>
      </w:pPr>
      <w:r w:rsidRPr="0087383D">
        <w:rPr>
          <w:rFonts w:ascii="Calibri" w:eastAsia="Calibri" w:hAnsi="Calibri"/>
          <w:bCs/>
          <w:i/>
          <w:sz w:val="22"/>
          <w:szCs w:val="22"/>
          <w:lang w:eastAsia="en-US"/>
        </w:rPr>
        <w:t>Exemple :</w:t>
      </w:r>
    </w:p>
    <w:p w:rsidR="0087383D" w:rsidRPr="0087383D" w:rsidRDefault="0087383D" w:rsidP="0087383D">
      <w:pPr>
        <w:pBdr>
          <w:top w:val="single" w:sz="4" w:space="1" w:color="auto"/>
          <w:left w:val="single" w:sz="4" w:space="4" w:color="auto"/>
          <w:bottom w:val="single" w:sz="4" w:space="1" w:color="auto"/>
          <w:right w:val="single" w:sz="4" w:space="4" w:color="auto"/>
        </w:pBdr>
        <w:jc w:val="both"/>
        <w:rPr>
          <w:rFonts w:ascii="Calibri" w:eastAsia="Calibri" w:hAnsi="Calibri"/>
          <w:bCs/>
          <w:i/>
          <w:sz w:val="22"/>
          <w:szCs w:val="22"/>
          <w:lang w:eastAsia="en-US"/>
        </w:rPr>
      </w:pPr>
    </w:p>
    <w:p w:rsidR="00922E2D" w:rsidRPr="0087383D" w:rsidRDefault="00922E2D" w:rsidP="0087383D">
      <w:pPr>
        <w:pBdr>
          <w:top w:val="single" w:sz="4" w:space="1" w:color="auto"/>
          <w:left w:val="single" w:sz="4" w:space="4" w:color="auto"/>
          <w:bottom w:val="single" w:sz="4" w:space="1" w:color="auto"/>
          <w:right w:val="single" w:sz="4" w:space="4" w:color="auto"/>
        </w:pBdr>
        <w:jc w:val="both"/>
        <w:rPr>
          <w:rFonts w:ascii="Calibri" w:eastAsia="Calibri" w:hAnsi="Calibri"/>
          <w:bCs/>
          <w:i/>
          <w:sz w:val="22"/>
          <w:szCs w:val="22"/>
          <w:lang w:eastAsia="en-US"/>
        </w:rPr>
      </w:pPr>
      <w:r w:rsidRPr="0087383D">
        <w:rPr>
          <w:rFonts w:ascii="Calibri" w:eastAsia="Calibri" w:hAnsi="Calibri"/>
          <w:bCs/>
          <w:i/>
          <w:sz w:val="22"/>
          <w:szCs w:val="22"/>
          <w:lang w:eastAsia="en-US"/>
        </w:rPr>
        <w:t>Si un salarié cadre soumis à un forfait annuel de 218 jours</w:t>
      </w:r>
      <w:r w:rsidR="0087383D" w:rsidRPr="0087383D">
        <w:rPr>
          <w:rFonts w:ascii="Calibri" w:eastAsia="Calibri" w:hAnsi="Calibri"/>
          <w:bCs/>
          <w:i/>
          <w:sz w:val="22"/>
          <w:szCs w:val="22"/>
          <w:lang w:eastAsia="en-US"/>
        </w:rPr>
        <w:t xml:space="preserve"> et ayant droit à 8 jours de repos, a un arrêt maladie de 5 jours ouvrés, son forfait annuel doit être réduit à 213 jours et il conserve ses 8 jours de repos.</w:t>
      </w:r>
    </w:p>
    <w:p w:rsidR="00922E2D" w:rsidRDefault="00922E2D" w:rsidP="00922E2D">
      <w:pPr>
        <w:jc w:val="both"/>
        <w:rPr>
          <w:rFonts w:ascii="Calibri" w:eastAsia="Calibri" w:hAnsi="Calibri"/>
          <w:bCs/>
          <w:sz w:val="22"/>
          <w:szCs w:val="22"/>
          <w:lang w:eastAsia="en-US"/>
        </w:rPr>
      </w:pPr>
    </w:p>
    <w:p w:rsidR="00922E2D" w:rsidRDefault="00922E2D" w:rsidP="00922E2D">
      <w:pPr>
        <w:jc w:val="both"/>
        <w:rPr>
          <w:rFonts w:ascii="Calibri" w:eastAsia="Calibri" w:hAnsi="Calibri"/>
          <w:bCs/>
          <w:i/>
          <w:sz w:val="22"/>
          <w:szCs w:val="22"/>
          <w:lang w:eastAsia="en-US"/>
        </w:rPr>
      </w:pPr>
      <w:r>
        <w:rPr>
          <w:rFonts w:ascii="Calibri" w:eastAsia="Calibri" w:hAnsi="Calibri"/>
          <w:bCs/>
          <w:i/>
          <w:sz w:val="22"/>
          <w:szCs w:val="22"/>
          <w:lang w:eastAsia="en-US"/>
        </w:rPr>
        <w:t xml:space="preserve">Repos </w:t>
      </w:r>
    </w:p>
    <w:p w:rsidR="00922E2D" w:rsidRDefault="00922E2D" w:rsidP="00922E2D">
      <w:pPr>
        <w:jc w:val="both"/>
        <w:rPr>
          <w:rFonts w:ascii="Calibri" w:eastAsia="Calibri" w:hAnsi="Calibri"/>
          <w:bCs/>
          <w:i/>
          <w:sz w:val="22"/>
          <w:szCs w:val="22"/>
          <w:lang w:eastAsia="en-US"/>
        </w:rPr>
      </w:pPr>
    </w:p>
    <w:p w:rsidR="00922E2D" w:rsidRDefault="00922E2D" w:rsidP="00922E2D">
      <w:pPr>
        <w:jc w:val="both"/>
        <w:rPr>
          <w:rFonts w:ascii="Calibri" w:eastAsia="Calibri" w:hAnsi="Calibri"/>
          <w:bCs/>
          <w:sz w:val="22"/>
          <w:szCs w:val="22"/>
          <w:lang w:eastAsia="en-US"/>
        </w:rPr>
      </w:pPr>
      <w:r>
        <w:rPr>
          <w:rFonts w:ascii="Calibri" w:eastAsia="Calibri" w:hAnsi="Calibri"/>
          <w:bCs/>
          <w:sz w:val="22"/>
          <w:szCs w:val="22"/>
          <w:lang w:eastAsia="en-US"/>
        </w:rPr>
        <w:t>Le salarié en forfait jours bénéficie du repos quotidien minimum de 11h, et du repos hebdomadaire de 24 heures sur 8 semaines consécutives, et de 48 heures sur le reste de l’année.</w:t>
      </w:r>
    </w:p>
    <w:p w:rsidR="00922E2D" w:rsidRDefault="00922E2D" w:rsidP="00922E2D">
      <w:pPr>
        <w:jc w:val="both"/>
        <w:rPr>
          <w:rFonts w:ascii="Calibri" w:eastAsia="Calibri" w:hAnsi="Calibri"/>
          <w:bCs/>
          <w:sz w:val="22"/>
          <w:szCs w:val="22"/>
          <w:lang w:eastAsia="en-US"/>
        </w:rPr>
      </w:pPr>
    </w:p>
    <w:p w:rsidR="00922E2D" w:rsidRDefault="00922E2D" w:rsidP="00922E2D">
      <w:pPr>
        <w:jc w:val="both"/>
        <w:rPr>
          <w:rFonts w:ascii="Calibri" w:eastAsia="Calibri" w:hAnsi="Calibri"/>
          <w:bCs/>
          <w:sz w:val="22"/>
          <w:szCs w:val="22"/>
          <w:lang w:eastAsia="en-US"/>
        </w:rPr>
      </w:pPr>
      <w:r>
        <w:rPr>
          <w:rFonts w:ascii="Calibri" w:eastAsia="Calibri" w:hAnsi="Calibri"/>
          <w:bCs/>
          <w:sz w:val="22"/>
          <w:szCs w:val="22"/>
          <w:lang w:eastAsia="en-US"/>
        </w:rPr>
        <w:t xml:space="preserve">L’annexe I de l’accord du 11 juillet 2013 permet aux entreprises de pouvoir calculer le nombre de jours de repos sur l’année. </w:t>
      </w:r>
    </w:p>
    <w:p w:rsidR="00922E2D" w:rsidRDefault="00922E2D" w:rsidP="00922E2D">
      <w:pPr>
        <w:jc w:val="both"/>
        <w:rPr>
          <w:rFonts w:ascii="Calibri" w:eastAsia="Calibri" w:hAnsi="Calibri"/>
          <w:bCs/>
          <w:sz w:val="22"/>
          <w:szCs w:val="22"/>
          <w:lang w:eastAsia="en-US"/>
        </w:rPr>
      </w:pPr>
    </w:p>
    <w:p w:rsidR="00922E2D" w:rsidRPr="0087383D" w:rsidRDefault="0087383D" w:rsidP="00162B6C">
      <w:pPr>
        <w:jc w:val="both"/>
        <w:rPr>
          <w:rFonts w:ascii="Calibri" w:eastAsia="Calibri" w:hAnsi="Calibri"/>
          <w:bCs/>
          <w:i/>
          <w:sz w:val="22"/>
          <w:szCs w:val="22"/>
          <w:lang w:eastAsia="en-US"/>
        </w:rPr>
      </w:pPr>
      <w:r w:rsidRPr="0087383D">
        <w:rPr>
          <w:rFonts w:ascii="Calibri" w:eastAsia="Calibri" w:hAnsi="Calibri"/>
          <w:bCs/>
          <w:i/>
          <w:sz w:val="22"/>
          <w:szCs w:val="22"/>
          <w:lang w:eastAsia="en-US"/>
        </w:rPr>
        <w:t>Dépassement du forfait jours</w:t>
      </w:r>
    </w:p>
    <w:p w:rsidR="0087383D" w:rsidRDefault="0087383D" w:rsidP="00162B6C">
      <w:pPr>
        <w:jc w:val="both"/>
        <w:rPr>
          <w:rFonts w:ascii="Calibri" w:eastAsia="Calibri" w:hAnsi="Calibri"/>
          <w:bCs/>
          <w:sz w:val="22"/>
          <w:szCs w:val="22"/>
          <w:lang w:eastAsia="en-US"/>
        </w:rPr>
      </w:pPr>
    </w:p>
    <w:p w:rsidR="0087383D" w:rsidRDefault="0087383D" w:rsidP="00162B6C">
      <w:pPr>
        <w:jc w:val="both"/>
        <w:rPr>
          <w:rFonts w:ascii="Calibri" w:eastAsia="Calibri" w:hAnsi="Calibri"/>
          <w:bCs/>
          <w:sz w:val="22"/>
          <w:szCs w:val="22"/>
          <w:lang w:eastAsia="en-US"/>
        </w:rPr>
      </w:pPr>
      <w:r>
        <w:rPr>
          <w:rFonts w:ascii="Calibri" w:eastAsia="Calibri" w:hAnsi="Calibri"/>
          <w:bCs/>
          <w:sz w:val="22"/>
          <w:szCs w:val="22"/>
          <w:lang w:eastAsia="en-US"/>
        </w:rPr>
        <w:t>En accord avec l’employeur, les salariés en forfait jours sur l’année peuvent renoncer à une partie de leurs jours de repos en contrepartie d’une majoration de salaire (« rachat des jours de repos</w:t>
      </w:r>
      <w:r w:rsidR="006C214B">
        <w:rPr>
          <w:rFonts w:ascii="Calibri" w:eastAsia="Calibri" w:hAnsi="Calibri"/>
          <w:bCs/>
          <w:sz w:val="22"/>
          <w:szCs w:val="22"/>
          <w:lang w:eastAsia="en-US"/>
        </w:rPr>
        <w:t> »</w:t>
      </w:r>
      <w:r>
        <w:rPr>
          <w:rFonts w:ascii="Calibri" w:eastAsia="Calibri" w:hAnsi="Calibri"/>
          <w:bCs/>
          <w:sz w:val="22"/>
          <w:szCs w:val="22"/>
          <w:lang w:eastAsia="en-US"/>
        </w:rPr>
        <w:t>).</w:t>
      </w:r>
    </w:p>
    <w:p w:rsidR="0087383D" w:rsidRDefault="0087383D" w:rsidP="00162B6C">
      <w:pPr>
        <w:jc w:val="both"/>
        <w:rPr>
          <w:rFonts w:ascii="Calibri" w:eastAsia="Calibri" w:hAnsi="Calibri"/>
          <w:bCs/>
          <w:sz w:val="22"/>
          <w:szCs w:val="22"/>
          <w:lang w:eastAsia="en-US"/>
        </w:rPr>
      </w:pPr>
    </w:p>
    <w:p w:rsidR="003B78CD" w:rsidRDefault="0087383D" w:rsidP="00162B6C">
      <w:pPr>
        <w:jc w:val="both"/>
        <w:rPr>
          <w:rFonts w:ascii="Calibri" w:eastAsia="Calibri" w:hAnsi="Calibri"/>
          <w:bCs/>
          <w:sz w:val="22"/>
          <w:szCs w:val="22"/>
          <w:lang w:eastAsia="en-US"/>
        </w:rPr>
      </w:pPr>
      <w:r>
        <w:rPr>
          <w:rFonts w:ascii="Calibri" w:eastAsia="Calibri" w:hAnsi="Calibri"/>
          <w:bCs/>
          <w:sz w:val="22"/>
          <w:szCs w:val="22"/>
          <w:lang w:eastAsia="en-US"/>
        </w:rPr>
        <w:t xml:space="preserve">Cette décision repose sur le volontariat et doit fait l’objet d’un avenant à la convention de forfait, </w:t>
      </w:r>
      <w:r w:rsidR="006F5CAD">
        <w:rPr>
          <w:rFonts w:ascii="Calibri" w:eastAsia="Calibri" w:hAnsi="Calibri"/>
          <w:bCs/>
          <w:sz w:val="22"/>
          <w:szCs w:val="22"/>
          <w:lang w:eastAsia="en-US"/>
        </w:rPr>
        <w:t xml:space="preserve">lequel est </w:t>
      </w:r>
      <w:r>
        <w:rPr>
          <w:rFonts w:ascii="Calibri" w:eastAsia="Calibri" w:hAnsi="Calibri"/>
          <w:bCs/>
          <w:sz w:val="22"/>
          <w:szCs w:val="22"/>
          <w:lang w:eastAsia="en-US"/>
        </w:rPr>
        <w:t>conclu pour l’année ou pour la période de 12 mois, et renouvelable</w:t>
      </w:r>
      <w:r>
        <w:rPr>
          <w:rStyle w:val="Appelnotedebasdep"/>
          <w:rFonts w:ascii="Calibri" w:eastAsia="Calibri" w:hAnsi="Calibri"/>
          <w:bCs/>
          <w:sz w:val="22"/>
          <w:szCs w:val="22"/>
          <w:lang w:eastAsia="en-US"/>
        </w:rPr>
        <w:footnoteReference w:id="3"/>
      </w:r>
      <w:r>
        <w:rPr>
          <w:rFonts w:ascii="Calibri" w:eastAsia="Calibri" w:hAnsi="Calibri"/>
          <w:bCs/>
          <w:sz w:val="22"/>
          <w:szCs w:val="22"/>
          <w:lang w:eastAsia="en-US"/>
        </w:rPr>
        <w:t xml:space="preserve">. </w:t>
      </w:r>
    </w:p>
    <w:p w:rsidR="003B78CD" w:rsidRDefault="003B78CD" w:rsidP="00162B6C">
      <w:pPr>
        <w:jc w:val="both"/>
        <w:rPr>
          <w:rFonts w:ascii="Calibri" w:eastAsia="Calibri" w:hAnsi="Calibri"/>
          <w:bCs/>
          <w:sz w:val="22"/>
          <w:szCs w:val="22"/>
          <w:lang w:eastAsia="en-US"/>
        </w:rPr>
      </w:pPr>
    </w:p>
    <w:p w:rsidR="0087383D" w:rsidRDefault="0087383D" w:rsidP="003B78CD">
      <w:pPr>
        <w:jc w:val="both"/>
        <w:rPr>
          <w:rFonts w:ascii="Calibri" w:eastAsia="Calibri" w:hAnsi="Calibri"/>
          <w:bCs/>
          <w:sz w:val="22"/>
          <w:szCs w:val="22"/>
          <w:lang w:eastAsia="en-US"/>
        </w:rPr>
      </w:pPr>
      <w:r>
        <w:rPr>
          <w:rFonts w:ascii="Calibri" w:eastAsia="Calibri" w:hAnsi="Calibri"/>
          <w:bCs/>
          <w:sz w:val="22"/>
          <w:szCs w:val="22"/>
          <w:lang w:eastAsia="en-US"/>
        </w:rPr>
        <w:t>L’a</w:t>
      </w:r>
      <w:r w:rsidR="006F5CAD">
        <w:rPr>
          <w:rFonts w:ascii="Calibri" w:eastAsia="Calibri" w:hAnsi="Calibri"/>
          <w:bCs/>
          <w:sz w:val="22"/>
          <w:szCs w:val="22"/>
          <w:lang w:eastAsia="en-US"/>
        </w:rPr>
        <w:t>ccord de branche fixe</w:t>
      </w:r>
      <w:r>
        <w:rPr>
          <w:rFonts w:ascii="Calibri" w:eastAsia="Calibri" w:hAnsi="Calibri"/>
          <w:bCs/>
          <w:sz w:val="22"/>
          <w:szCs w:val="22"/>
          <w:lang w:eastAsia="en-US"/>
        </w:rPr>
        <w:t xml:space="preserve"> </w:t>
      </w:r>
      <w:r w:rsidR="003B78CD">
        <w:rPr>
          <w:rFonts w:ascii="Calibri" w:eastAsia="Calibri" w:hAnsi="Calibri"/>
          <w:bCs/>
          <w:sz w:val="22"/>
          <w:szCs w:val="22"/>
          <w:lang w:eastAsia="en-US"/>
        </w:rPr>
        <w:t>le t</w:t>
      </w:r>
      <w:r>
        <w:rPr>
          <w:rFonts w:ascii="Calibri" w:eastAsia="Calibri" w:hAnsi="Calibri"/>
          <w:bCs/>
          <w:sz w:val="22"/>
          <w:szCs w:val="22"/>
          <w:lang w:eastAsia="en-US"/>
        </w:rPr>
        <w:t>aux de majoration</w:t>
      </w:r>
      <w:r w:rsidR="003B78CD">
        <w:rPr>
          <w:rFonts w:ascii="Calibri" w:eastAsia="Calibri" w:hAnsi="Calibri"/>
          <w:bCs/>
          <w:sz w:val="22"/>
          <w:szCs w:val="22"/>
          <w:lang w:eastAsia="en-US"/>
        </w:rPr>
        <w:t xml:space="preserve"> de salaire à 25% pour les salariés au forfait jours de 218 jours. Pour les forfaits d’une durée inférieure, il est à noter que ce taux de majoration ne peut être inférieur à 10% (art. L.3121-45 du Code du travail).</w:t>
      </w:r>
    </w:p>
    <w:p w:rsidR="003B78CD" w:rsidRDefault="003B78CD" w:rsidP="003B78CD">
      <w:pPr>
        <w:jc w:val="both"/>
        <w:rPr>
          <w:rFonts w:ascii="Calibri" w:eastAsia="Calibri" w:hAnsi="Calibri"/>
          <w:bCs/>
          <w:sz w:val="22"/>
          <w:szCs w:val="22"/>
          <w:lang w:eastAsia="en-US"/>
        </w:rPr>
      </w:pPr>
    </w:p>
    <w:p w:rsidR="003B78CD" w:rsidRDefault="003B78CD" w:rsidP="003B78CD">
      <w:pPr>
        <w:jc w:val="both"/>
        <w:rPr>
          <w:rFonts w:ascii="Calibri" w:eastAsia="Calibri" w:hAnsi="Calibri"/>
          <w:bCs/>
          <w:sz w:val="22"/>
          <w:szCs w:val="22"/>
          <w:lang w:eastAsia="en-US"/>
        </w:rPr>
      </w:pPr>
      <w:r>
        <w:rPr>
          <w:rFonts w:ascii="Calibri" w:eastAsia="Calibri" w:hAnsi="Calibri"/>
          <w:bCs/>
          <w:sz w:val="22"/>
          <w:szCs w:val="22"/>
          <w:lang w:eastAsia="en-US"/>
        </w:rPr>
        <w:t xml:space="preserve">L’accord fixe un nombre maximal de jours pouvant </w:t>
      </w:r>
      <w:r w:rsidR="00B91F23">
        <w:rPr>
          <w:rFonts w:ascii="Calibri" w:eastAsia="Calibri" w:hAnsi="Calibri"/>
          <w:bCs/>
          <w:sz w:val="22"/>
          <w:szCs w:val="22"/>
          <w:lang w:eastAsia="en-US"/>
        </w:rPr>
        <w:t>être travaillés à 228 jours, il tient compte du repos quotidien, hebdomadaire, des jours fériés chômés dans l’entreprise et des congés pay</w:t>
      </w:r>
      <w:r w:rsidR="006C214B">
        <w:rPr>
          <w:rFonts w:ascii="Calibri" w:eastAsia="Calibri" w:hAnsi="Calibri"/>
          <w:bCs/>
          <w:sz w:val="22"/>
          <w:szCs w:val="22"/>
          <w:lang w:eastAsia="en-US"/>
        </w:rPr>
        <w:t>é</w:t>
      </w:r>
      <w:r w:rsidR="00B91F23">
        <w:rPr>
          <w:rFonts w:ascii="Calibri" w:eastAsia="Calibri" w:hAnsi="Calibri"/>
          <w:bCs/>
          <w:sz w:val="22"/>
          <w:szCs w:val="22"/>
          <w:lang w:eastAsia="en-US"/>
        </w:rPr>
        <w:t>s (cf. art. 6 de l’accord du 11 juillet 2013).</w:t>
      </w:r>
    </w:p>
    <w:p w:rsidR="003B78CD" w:rsidRDefault="003B78CD" w:rsidP="003B78CD">
      <w:pPr>
        <w:jc w:val="both"/>
        <w:rPr>
          <w:rFonts w:ascii="Calibri" w:eastAsia="Calibri" w:hAnsi="Calibri"/>
          <w:bCs/>
          <w:sz w:val="22"/>
          <w:szCs w:val="22"/>
          <w:lang w:eastAsia="en-US"/>
        </w:rPr>
      </w:pPr>
    </w:p>
    <w:p w:rsidR="003B78CD" w:rsidRDefault="003B78CD" w:rsidP="003B78CD">
      <w:pPr>
        <w:jc w:val="both"/>
        <w:rPr>
          <w:rFonts w:ascii="Calibri" w:eastAsia="Calibri" w:hAnsi="Calibri"/>
          <w:bCs/>
          <w:sz w:val="22"/>
          <w:szCs w:val="22"/>
          <w:lang w:eastAsia="en-US"/>
        </w:rPr>
      </w:pPr>
      <w:r>
        <w:rPr>
          <w:rFonts w:ascii="Calibri" w:eastAsia="Calibri" w:hAnsi="Calibri"/>
          <w:bCs/>
          <w:sz w:val="22"/>
          <w:szCs w:val="22"/>
          <w:lang w:eastAsia="en-US"/>
        </w:rPr>
        <w:t>Le salarié dont le forfait prévoit une durée annuelle à 218 jours peut renoncer au maximum à 228-218 = 10 jours de repos.</w:t>
      </w:r>
    </w:p>
    <w:p w:rsidR="003B78CD" w:rsidRDefault="003B78CD" w:rsidP="003B78CD">
      <w:pPr>
        <w:jc w:val="both"/>
        <w:rPr>
          <w:rFonts w:ascii="Calibri" w:eastAsia="Calibri" w:hAnsi="Calibri"/>
          <w:bCs/>
          <w:sz w:val="22"/>
          <w:szCs w:val="22"/>
          <w:lang w:eastAsia="en-US"/>
        </w:rPr>
      </w:pPr>
    </w:p>
    <w:p w:rsidR="003B78CD" w:rsidRDefault="003B78CD" w:rsidP="003B78CD">
      <w:pPr>
        <w:jc w:val="both"/>
        <w:rPr>
          <w:rFonts w:ascii="Calibri" w:eastAsia="Calibri" w:hAnsi="Calibri"/>
          <w:bCs/>
          <w:sz w:val="22"/>
          <w:szCs w:val="22"/>
          <w:lang w:eastAsia="en-US"/>
        </w:rPr>
      </w:pPr>
      <w:r>
        <w:rPr>
          <w:rFonts w:ascii="Calibri" w:eastAsia="Calibri" w:hAnsi="Calibri"/>
          <w:bCs/>
          <w:sz w:val="22"/>
          <w:szCs w:val="22"/>
          <w:lang w:eastAsia="en-US"/>
        </w:rPr>
        <w:t>La majoration du salaire est calculée par référence au salaire moyen journalier (salaire journalier = salaire mensuel de bas</w:t>
      </w:r>
      <w:r w:rsidR="00B91F23">
        <w:rPr>
          <w:rFonts w:ascii="Calibri" w:eastAsia="Calibri" w:hAnsi="Calibri"/>
          <w:bCs/>
          <w:sz w:val="22"/>
          <w:szCs w:val="22"/>
          <w:lang w:eastAsia="en-US"/>
        </w:rPr>
        <w:t>e</w:t>
      </w:r>
      <w:r>
        <w:rPr>
          <w:rFonts w:ascii="Calibri" w:eastAsia="Calibri" w:hAnsi="Calibri"/>
          <w:bCs/>
          <w:sz w:val="22"/>
          <w:szCs w:val="22"/>
          <w:lang w:eastAsia="en-US"/>
        </w:rPr>
        <w:t>/21,66).</w:t>
      </w:r>
    </w:p>
    <w:p w:rsidR="003B78CD" w:rsidRDefault="003B78CD" w:rsidP="003B78CD">
      <w:pPr>
        <w:ind w:left="720"/>
        <w:jc w:val="both"/>
        <w:rPr>
          <w:rFonts w:ascii="Calibri" w:eastAsia="Calibri" w:hAnsi="Calibri"/>
          <w:bCs/>
          <w:sz w:val="22"/>
          <w:szCs w:val="22"/>
          <w:lang w:eastAsia="en-US"/>
        </w:rPr>
      </w:pPr>
    </w:p>
    <w:p w:rsidR="003B78CD" w:rsidRPr="007103B5" w:rsidRDefault="00B91F23" w:rsidP="007103B5">
      <w:pPr>
        <w:ind w:left="1080"/>
        <w:jc w:val="both"/>
        <w:rPr>
          <w:rFonts w:ascii="Calibri" w:eastAsia="Calibri" w:hAnsi="Calibri"/>
          <w:b/>
          <w:bCs/>
          <w:sz w:val="22"/>
          <w:szCs w:val="22"/>
          <w:lang w:eastAsia="en-US"/>
        </w:rPr>
      </w:pPr>
      <w:r w:rsidRPr="007103B5">
        <w:rPr>
          <w:rFonts w:ascii="Calibri" w:eastAsia="Calibri" w:hAnsi="Calibri"/>
          <w:b/>
          <w:bCs/>
          <w:sz w:val="22"/>
          <w:szCs w:val="22"/>
          <w:lang w:eastAsia="en-US"/>
        </w:rPr>
        <w:t>Contrôle du forfait jours</w:t>
      </w:r>
    </w:p>
    <w:p w:rsidR="003B78CD" w:rsidRDefault="003B78CD" w:rsidP="003B78CD">
      <w:pPr>
        <w:jc w:val="both"/>
        <w:rPr>
          <w:rFonts w:ascii="Calibri" w:eastAsia="Calibri" w:hAnsi="Calibri"/>
          <w:bCs/>
          <w:sz w:val="22"/>
          <w:szCs w:val="22"/>
          <w:lang w:eastAsia="en-US"/>
        </w:rPr>
      </w:pPr>
    </w:p>
    <w:p w:rsidR="00922E2D" w:rsidRDefault="007262FB" w:rsidP="00162B6C">
      <w:pPr>
        <w:jc w:val="both"/>
        <w:rPr>
          <w:rFonts w:ascii="Calibri" w:eastAsia="Calibri" w:hAnsi="Calibri"/>
          <w:bCs/>
          <w:sz w:val="22"/>
          <w:szCs w:val="22"/>
          <w:lang w:eastAsia="en-US"/>
        </w:rPr>
      </w:pPr>
      <w:r>
        <w:rPr>
          <w:rFonts w:ascii="Calibri" w:eastAsia="Calibri" w:hAnsi="Calibri"/>
          <w:bCs/>
          <w:sz w:val="22"/>
          <w:szCs w:val="22"/>
          <w:lang w:eastAsia="en-US"/>
        </w:rPr>
        <w:t>L’article 8 de l’accord prévoit qu’un suivi régulier et précis de la charge de travail est assuré</w:t>
      </w:r>
      <w:r w:rsidRPr="007262FB">
        <w:rPr>
          <w:rFonts w:ascii="Calibri" w:eastAsia="Calibri" w:hAnsi="Calibri"/>
          <w:bCs/>
          <w:sz w:val="22"/>
          <w:szCs w:val="22"/>
          <w:lang w:eastAsia="en-US"/>
        </w:rPr>
        <w:t xml:space="preserve"> </w:t>
      </w:r>
      <w:r>
        <w:rPr>
          <w:rFonts w:ascii="Calibri" w:eastAsia="Calibri" w:hAnsi="Calibri"/>
          <w:bCs/>
          <w:sz w:val="22"/>
          <w:szCs w:val="22"/>
          <w:lang w:eastAsia="en-US"/>
        </w:rPr>
        <w:t>par l’employeur. Ce suivi consiste :</w:t>
      </w:r>
    </w:p>
    <w:p w:rsidR="008C4DBD" w:rsidRDefault="008C4DBD" w:rsidP="00162B6C">
      <w:pPr>
        <w:jc w:val="both"/>
        <w:rPr>
          <w:rFonts w:ascii="Calibri" w:eastAsia="Calibri" w:hAnsi="Calibri"/>
          <w:bCs/>
          <w:sz w:val="22"/>
          <w:szCs w:val="22"/>
          <w:lang w:eastAsia="en-US"/>
        </w:rPr>
      </w:pPr>
    </w:p>
    <w:p w:rsidR="007262FB" w:rsidRDefault="007262FB" w:rsidP="007262FB">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 xml:space="preserve">En </w:t>
      </w:r>
      <w:r w:rsidRPr="008C4DBD">
        <w:rPr>
          <w:rFonts w:ascii="Calibri" w:eastAsia="Calibri" w:hAnsi="Calibri"/>
          <w:b/>
          <w:bCs/>
          <w:sz w:val="22"/>
          <w:szCs w:val="22"/>
          <w:lang w:eastAsia="en-US"/>
        </w:rPr>
        <w:t>un entretien annuel individuel</w:t>
      </w:r>
      <w:r>
        <w:rPr>
          <w:rFonts w:ascii="Calibri" w:eastAsia="Calibri" w:hAnsi="Calibri"/>
          <w:bCs/>
          <w:sz w:val="22"/>
          <w:szCs w:val="22"/>
          <w:lang w:eastAsia="en-US"/>
        </w:rPr>
        <w:t xml:space="preserve"> qui porte sur la charge de travail, l’amplitude des journées d’activité, l’organisation du travail dans l’entreprise, la rémunération et l’articulation entre vie professionnelle et vie familiale ; </w:t>
      </w:r>
    </w:p>
    <w:p w:rsidR="008C4DBD" w:rsidRDefault="008C4DBD" w:rsidP="008C4DBD">
      <w:pPr>
        <w:jc w:val="both"/>
        <w:rPr>
          <w:rFonts w:ascii="Calibri" w:eastAsia="Calibri" w:hAnsi="Calibri"/>
          <w:bCs/>
          <w:sz w:val="22"/>
          <w:szCs w:val="22"/>
          <w:lang w:eastAsia="en-US"/>
        </w:rPr>
      </w:pPr>
    </w:p>
    <w:p w:rsidR="007262FB" w:rsidRDefault="007262FB" w:rsidP="007262FB">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 xml:space="preserve">En </w:t>
      </w:r>
      <w:r w:rsidR="008C4DBD" w:rsidRPr="008C4DBD">
        <w:rPr>
          <w:rFonts w:ascii="Calibri" w:eastAsia="Calibri" w:hAnsi="Calibri"/>
          <w:b/>
          <w:bCs/>
          <w:sz w:val="22"/>
          <w:szCs w:val="22"/>
          <w:lang w:eastAsia="en-US"/>
        </w:rPr>
        <w:t>un</w:t>
      </w:r>
      <w:r w:rsidRPr="008C4DBD">
        <w:rPr>
          <w:rFonts w:ascii="Calibri" w:eastAsia="Calibri" w:hAnsi="Calibri"/>
          <w:b/>
          <w:bCs/>
          <w:sz w:val="22"/>
          <w:szCs w:val="22"/>
          <w:lang w:eastAsia="en-US"/>
        </w:rPr>
        <w:t xml:space="preserve"> formulaire trimestriel</w:t>
      </w:r>
      <w:r>
        <w:rPr>
          <w:rFonts w:ascii="Calibri" w:eastAsia="Calibri" w:hAnsi="Calibri"/>
          <w:bCs/>
          <w:sz w:val="22"/>
          <w:szCs w:val="22"/>
          <w:lang w:eastAsia="en-US"/>
        </w:rPr>
        <w:t xml:space="preserve"> mis à la disposition et rempli par le salarié</w:t>
      </w:r>
      <w:r w:rsidR="008C4DBD">
        <w:rPr>
          <w:rFonts w:ascii="Calibri" w:eastAsia="Calibri" w:hAnsi="Calibri"/>
          <w:bCs/>
          <w:sz w:val="22"/>
          <w:szCs w:val="22"/>
          <w:lang w:eastAsia="en-US"/>
        </w:rPr>
        <w:t xml:space="preserve"> chaque mois permettant de lister le nombre de jours travaillés et les prises de repos quotidien et hebdomadaire (cf. annexe </w:t>
      </w:r>
      <w:r w:rsidR="00D636D0">
        <w:rPr>
          <w:rFonts w:ascii="Calibri" w:eastAsia="Calibri" w:hAnsi="Calibri"/>
          <w:bCs/>
          <w:sz w:val="22"/>
          <w:szCs w:val="22"/>
          <w:lang w:eastAsia="en-US"/>
        </w:rPr>
        <w:t>modèle annexé à</w:t>
      </w:r>
      <w:r w:rsidR="008C4DBD">
        <w:rPr>
          <w:rFonts w:ascii="Calibri" w:eastAsia="Calibri" w:hAnsi="Calibri"/>
          <w:bCs/>
          <w:sz w:val="22"/>
          <w:szCs w:val="22"/>
          <w:lang w:eastAsia="en-US"/>
        </w:rPr>
        <w:t xml:space="preserve"> la présente circulaire). Chaque fin de mois, ce décompte est signé par le salarié et l’employeur.</w:t>
      </w:r>
    </w:p>
    <w:p w:rsidR="008C4DBD" w:rsidRDefault="008C4DBD" w:rsidP="008C4DBD">
      <w:pPr>
        <w:jc w:val="both"/>
        <w:rPr>
          <w:rFonts w:ascii="Calibri" w:eastAsia="Calibri" w:hAnsi="Calibri"/>
          <w:bCs/>
          <w:sz w:val="22"/>
          <w:szCs w:val="22"/>
          <w:lang w:eastAsia="en-US"/>
        </w:rPr>
      </w:pPr>
    </w:p>
    <w:p w:rsidR="008C4DBD" w:rsidRDefault="008C4DBD" w:rsidP="008C4DBD">
      <w:pPr>
        <w:jc w:val="both"/>
        <w:rPr>
          <w:rFonts w:ascii="Calibri" w:eastAsia="Calibri" w:hAnsi="Calibri"/>
          <w:bCs/>
          <w:sz w:val="22"/>
          <w:szCs w:val="22"/>
          <w:lang w:eastAsia="en-US"/>
        </w:rPr>
      </w:pPr>
      <w:r>
        <w:rPr>
          <w:rFonts w:ascii="Calibri" w:eastAsia="Calibri" w:hAnsi="Calibri"/>
          <w:bCs/>
          <w:sz w:val="22"/>
          <w:szCs w:val="22"/>
          <w:lang w:eastAsia="en-US"/>
        </w:rPr>
        <w:t>Le salarié qui souhaite prendre un jour ou une demi-journée doit en informer son employeur 7 jours avant la date envisagée, l’employe</w:t>
      </w:r>
      <w:r w:rsidR="006C214B">
        <w:rPr>
          <w:rFonts w:ascii="Calibri" w:eastAsia="Calibri" w:hAnsi="Calibri"/>
          <w:bCs/>
          <w:sz w:val="22"/>
          <w:szCs w:val="22"/>
          <w:lang w:eastAsia="en-US"/>
        </w:rPr>
        <w:t>ur a alors 48 heures pour répondr</w:t>
      </w:r>
      <w:r>
        <w:rPr>
          <w:rFonts w:ascii="Calibri" w:eastAsia="Calibri" w:hAnsi="Calibri"/>
          <w:bCs/>
          <w:sz w:val="22"/>
          <w:szCs w:val="22"/>
          <w:lang w:eastAsia="en-US"/>
        </w:rPr>
        <w:t>e, l’absence de réponse valant validation.</w:t>
      </w:r>
    </w:p>
    <w:p w:rsidR="008C4DBD" w:rsidRDefault="008C4DBD" w:rsidP="008C4DBD">
      <w:pPr>
        <w:jc w:val="both"/>
        <w:rPr>
          <w:rFonts w:ascii="Calibri" w:eastAsia="Calibri" w:hAnsi="Calibri"/>
          <w:bCs/>
          <w:sz w:val="22"/>
          <w:szCs w:val="22"/>
          <w:lang w:eastAsia="en-US"/>
        </w:rPr>
      </w:pPr>
    </w:p>
    <w:p w:rsidR="007103B5" w:rsidRDefault="007103B5" w:rsidP="007103B5">
      <w:pPr>
        <w:jc w:val="both"/>
        <w:rPr>
          <w:rFonts w:ascii="Calibri" w:eastAsia="Calibri" w:hAnsi="Calibri"/>
          <w:bCs/>
          <w:sz w:val="22"/>
          <w:szCs w:val="22"/>
          <w:lang w:eastAsia="en-US"/>
        </w:rPr>
      </w:pPr>
      <w:r>
        <w:rPr>
          <w:rFonts w:ascii="Calibri" w:eastAsia="Calibri" w:hAnsi="Calibri"/>
          <w:bCs/>
          <w:sz w:val="22"/>
          <w:szCs w:val="22"/>
          <w:lang w:eastAsia="en-US"/>
        </w:rPr>
        <w:t>L’employeur doit récapituler chaque année le nombre de journées ou de demi-journées travaillées pour chaque salarié en forfait jours.</w:t>
      </w:r>
    </w:p>
    <w:p w:rsidR="008C4DBD" w:rsidRDefault="008C4DBD" w:rsidP="008C4DBD">
      <w:pPr>
        <w:jc w:val="both"/>
        <w:rPr>
          <w:rFonts w:ascii="Calibri" w:eastAsia="Calibri" w:hAnsi="Calibri"/>
          <w:bCs/>
          <w:sz w:val="22"/>
          <w:szCs w:val="22"/>
          <w:lang w:eastAsia="en-US"/>
        </w:rPr>
      </w:pPr>
    </w:p>
    <w:p w:rsidR="008C4DBD" w:rsidRDefault="007103B5" w:rsidP="008C4DBD">
      <w:pPr>
        <w:jc w:val="both"/>
        <w:rPr>
          <w:rFonts w:ascii="Calibri" w:eastAsia="Calibri" w:hAnsi="Calibri"/>
          <w:bCs/>
          <w:sz w:val="22"/>
          <w:szCs w:val="22"/>
          <w:lang w:eastAsia="en-US"/>
        </w:rPr>
      </w:pPr>
      <w:r>
        <w:rPr>
          <w:rFonts w:ascii="Calibri" w:eastAsia="Calibri" w:hAnsi="Calibri"/>
          <w:bCs/>
          <w:sz w:val="22"/>
          <w:szCs w:val="22"/>
          <w:lang w:eastAsia="en-US"/>
        </w:rPr>
        <w:t>Le CE ou les DP sont consultés chaque année sur les modalités de suivi de la charge de travail des salariés concernés et sur les modalités d’application des conventions de forfait.</w:t>
      </w:r>
    </w:p>
    <w:p w:rsidR="008C4DBD" w:rsidRDefault="008C4DBD" w:rsidP="008C4DBD">
      <w:pPr>
        <w:jc w:val="both"/>
        <w:rPr>
          <w:rFonts w:ascii="Calibri" w:eastAsia="Calibri" w:hAnsi="Calibri"/>
          <w:bCs/>
          <w:sz w:val="22"/>
          <w:szCs w:val="22"/>
          <w:lang w:eastAsia="en-US"/>
        </w:rPr>
      </w:pPr>
    </w:p>
    <w:p w:rsidR="00A75ECA" w:rsidRPr="007103B5" w:rsidRDefault="007B5C62" w:rsidP="007103B5">
      <w:pPr>
        <w:ind w:left="1080"/>
        <w:jc w:val="both"/>
        <w:rPr>
          <w:rFonts w:ascii="Calibri" w:eastAsia="Calibri" w:hAnsi="Calibri"/>
          <w:b/>
          <w:bCs/>
          <w:sz w:val="22"/>
          <w:szCs w:val="22"/>
          <w:lang w:eastAsia="en-US"/>
        </w:rPr>
      </w:pPr>
      <w:r w:rsidRPr="007103B5">
        <w:rPr>
          <w:rFonts w:ascii="Calibri" w:eastAsia="Calibri" w:hAnsi="Calibri"/>
          <w:b/>
          <w:bCs/>
          <w:sz w:val="22"/>
          <w:szCs w:val="22"/>
          <w:lang w:eastAsia="en-US"/>
        </w:rPr>
        <w:t>La rémunération</w:t>
      </w:r>
    </w:p>
    <w:p w:rsidR="007B5C62" w:rsidRDefault="007B5C62" w:rsidP="00162B6C">
      <w:pPr>
        <w:jc w:val="both"/>
        <w:rPr>
          <w:rFonts w:ascii="Calibri" w:eastAsia="Calibri" w:hAnsi="Calibri"/>
          <w:bCs/>
          <w:sz w:val="22"/>
          <w:szCs w:val="22"/>
          <w:lang w:eastAsia="en-US"/>
        </w:rPr>
      </w:pPr>
    </w:p>
    <w:p w:rsidR="005B5DE2" w:rsidRDefault="007103B5" w:rsidP="00162B6C">
      <w:pPr>
        <w:jc w:val="both"/>
        <w:rPr>
          <w:rFonts w:ascii="Calibri" w:eastAsia="Calibri" w:hAnsi="Calibri"/>
          <w:bCs/>
          <w:sz w:val="22"/>
          <w:szCs w:val="22"/>
          <w:lang w:eastAsia="en-US"/>
        </w:rPr>
      </w:pPr>
      <w:r>
        <w:rPr>
          <w:rFonts w:ascii="Calibri" w:eastAsia="Calibri" w:hAnsi="Calibri"/>
          <w:bCs/>
          <w:sz w:val="22"/>
          <w:szCs w:val="22"/>
          <w:lang w:eastAsia="en-US"/>
        </w:rPr>
        <w:t xml:space="preserve">L’article 5 fixe que le salaire mensuel de base du salarié en forfait jours, pour un forfait à 218 jours,  devra être au minimum égal au SMG de sa catégorie et de son échelon majoré de 10%. </w:t>
      </w:r>
    </w:p>
    <w:p w:rsidR="007103B5" w:rsidRDefault="007103B5" w:rsidP="00162B6C">
      <w:pPr>
        <w:jc w:val="both"/>
        <w:rPr>
          <w:rFonts w:ascii="Calibri" w:eastAsia="Calibri" w:hAnsi="Calibri"/>
          <w:bCs/>
          <w:sz w:val="22"/>
          <w:szCs w:val="22"/>
          <w:lang w:eastAsia="en-US"/>
        </w:rPr>
      </w:pPr>
    </w:p>
    <w:p w:rsidR="007103B5" w:rsidRDefault="007103B5" w:rsidP="00162B6C">
      <w:pPr>
        <w:jc w:val="both"/>
        <w:rPr>
          <w:rFonts w:ascii="Calibri" w:eastAsia="Calibri" w:hAnsi="Calibri"/>
          <w:bCs/>
          <w:sz w:val="22"/>
          <w:szCs w:val="22"/>
          <w:lang w:eastAsia="en-US"/>
        </w:rPr>
      </w:pPr>
      <w:r>
        <w:rPr>
          <w:rFonts w:ascii="Calibri" w:eastAsia="Calibri" w:hAnsi="Calibri"/>
          <w:bCs/>
          <w:sz w:val="22"/>
          <w:szCs w:val="22"/>
          <w:lang w:eastAsia="en-US"/>
        </w:rPr>
        <w:t>Le salaire mensuel de base n</w:t>
      </w:r>
      <w:r w:rsidRPr="007103B5">
        <w:rPr>
          <w:rFonts w:ascii="Calibri" w:eastAsia="Calibri" w:hAnsi="Calibri"/>
          <w:bCs/>
          <w:sz w:val="22"/>
          <w:szCs w:val="22"/>
          <w:lang w:eastAsia="en-US"/>
        </w:rPr>
        <w:t xml:space="preserve">e comprend </w:t>
      </w:r>
      <w:r>
        <w:rPr>
          <w:rFonts w:ascii="Calibri" w:eastAsia="Calibri" w:hAnsi="Calibri"/>
          <w:bCs/>
          <w:sz w:val="22"/>
          <w:szCs w:val="22"/>
          <w:lang w:eastAsia="en-US"/>
        </w:rPr>
        <w:t>pas les primes.</w:t>
      </w:r>
      <w:r w:rsidRPr="007103B5">
        <w:rPr>
          <w:rFonts w:ascii="Calibri" w:eastAsia="Calibri" w:hAnsi="Calibri"/>
          <w:bCs/>
          <w:sz w:val="22"/>
          <w:szCs w:val="22"/>
          <w:lang w:eastAsia="en-US"/>
        </w:rPr>
        <w:t xml:space="preserve"> Il s’agit d’un salaire brut, avant déduction des cotisations sociales et avant versement des prestations sociales. Il correspond au montant inscrit sur la première ligne de la fiche de paie du salarié.</w:t>
      </w:r>
    </w:p>
    <w:p w:rsidR="007103B5" w:rsidRDefault="007103B5" w:rsidP="00162B6C">
      <w:pPr>
        <w:jc w:val="both"/>
        <w:rPr>
          <w:rFonts w:ascii="Calibri" w:eastAsia="Calibri" w:hAnsi="Calibri"/>
          <w:bCs/>
          <w:sz w:val="22"/>
          <w:szCs w:val="22"/>
          <w:lang w:eastAsia="en-US"/>
        </w:rPr>
      </w:pPr>
    </w:p>
    <w:p w:rsidR="007103B5" w:rsidRDefault="007103B5" w:rsidP="00162B6C">
      <w:pPr>
        <w:jc w:val="both"/>
        <w:rPr>
          <w:rFonts w:ascii="Calibri" w:eastAsia="Calibri" w:hAnsi="Calibri"/>
          <w:bCs/>
          <w:sz w:val="22"/>
          <w:szCs w:val="22"/>
          <w:lang w:eastAsia="en-US"/>
        </w:rPr>
      </w:pPr>
      <w:r>
        <w:rPr>
          <w:rFonts w:ascii="Calibri" w:eastAsia="Calibri" w:hAnsi="Calibri"/>
          <w:bCs/>
          <w:sz w:val="22"/>
          <w:szCs w:val="22"/>
          <w:lang w:eastAsia="en-US"/>
        </w:rPr>
        <w:t>En cas de signature d’une convention individuelle de forfait jours, ce salaire mensuel de base ne doit pas être inférieur</w:t>
      </w:r>
      <w:r w:rsidR="005A4A68">
        <w:rPr>
          <w:rFonts w:ascii="Calibri" w:eastAsia="Calibri" w:hAnsi="Calibri"/>
          <w:bCs/>
          <w:sz w:val="22"/>
          <w:szCs w:val="22"/>
          <w:lang w:eastAsia="en-US"/>
        </w:rPr>
        <w:t xml:space="preserve"> aux montants suivants :</w:t>
      </w:r>
    </w:p>
    <w:p w:rsidR="005A4A68" w:rsidRDefault="005A4A68" w:rsidP="00162B6C">
      <w:pPr>
        <w:jc w:val="both"/>
        <w:rPr>
          <w:rFonts w:ascii="Calibri" w:eastAsia="Calibri" w:hAnsi="Calibri"/>
          <w:bCs/>
          <w:sz w:val="22"/>
          <w:szCs w:val="22"/>
          <w:lang w:eastAsia="en-US"/>
        </w:rPr>
      </w:pPr>
    </w:p>
    <w:p w:rsidR="005A4A68" w:rsidRPr="005A4A68" w:rsidRDefault="005A4A68" w:rsidP="005A4A68">
      <w:pPr>
        <w:jc w:val="right"/>
        <w:rPr>
          <w:rFonts w:ascii="Calibri" w:eastAsia="Calibri" w:hAnsi="Calibri"/>
          <w:b/>
          <w:bCs/>
          <w:i/>
          <w:sz w:val="22"/>
          <w:szCs w:val="22"/>
          <w:lang w:eastAsia="en-US"/>
        </w:rPr>
      </w:pPr>
      <w:r w:rsidRPr="005A4A68">
        <w:rPr>
          <w:rFonts w:ascii="Calibri" w:eastAsia="Calibri" w:hAnsi="Calibri"/>
          <w:b/>
          <w:bCs/>
          <w:i/>
          <w:sz w:val="22"/>
          <w:szCs w:val="22"/>
          <w:lang w:eastAsia="en-US"/>
        </w:rPr>
        <w:t>Grille basée sur la grille des salaires modifiés par l’avenant n°78 du 11 juillet 2013</w:t>
      </w:r>
    </w:p>
    <w:tbl>
      <w:tblPr>
        <w:tblW w:w="5000" w:type="pct"/>
        <w:tblCellMar>
          <w:left w:w="70" w:type="dxa"/>
          <w:right w:w="70" w:type="dxa"/>
        </w:tblCellMar>
        <w:tblLook w:val="04A0"/>
      </w:tblPr>
      <w:tblGrid>
        <w:gridCol w:w="1609"/>
        <w:gridCol w:w="1275"/>
        <w:gridCol w:w="1579"/>
        <w:gridCol w:w="1487"/>
        <w:gridCol w:w="1344"/>
        <w:gridCol w:w="1344"/>
      </w:tblGrid>
      <w:tr w:rsidR="005A4A68" w:rsidRPr="005A4A68" w:rsidTr="008272EA">
        <w:trPr>
          <w:trHeight w:val="300"/>
        </w:trPr>
        <w:tc>
          <w:tcPr>
            <w:tcW w:w="5000" w:type="pct"/>
            <w:gridSpan w:val="6"/>
            <w:tcBorders>
              <w:top w:val="nil"/>
              <w:left w:val="nil"/>
              <w:bottom w:val="single" w:sz="8" w:space="0" w:color="auto"/>
              <w:right w:val="nil"/>
            </w:tcBorders>
            <w:shd w:val="clear" w:color="auto" w:fill="auto"/>
            <w:noWrap/>
            <w:vAlign w:val="bottom"/>
            <w:hideMark/>
          </w:tcPr>
          <w:p w:rsidR="005A4A68" w:rsidRPr="005A4A68" w:rsidRDefault="005A4A68" w:rsidP="005A4A68">
            <w:pPr>
              <w:jc w:val="center"/>
              <w:rPr>
                <w:rFonts w:ascii="Arial" w:hAnsi="Arial" w:cs="Arial"/>
                <w:b/>
                <w:bCs/>
                <w:color w:val="000000"/>
                <w:sz w:val="20"/>
                <w:szCs w:val="20"/>
              </w:rPr>
            </w:pPr>
          </w:p>
        </w:tc>
      </w:tr>
      <w:tr w:rsidR="005A4A68" w:rsidRPr="005A4A68" w:rsidTr="008272EA">
        <w:trPr>
          <w:trHeight w:val="315"/>
        </w:trPr>
        <w:tc>
          <w:tcPr>
            <w:tcW w:w="931" w:type="pct"/>
            <w:tcBorders>
              <w:top w:val="nil"/>
              <w:left w:val="single" w:sz="8" w:space="0" w:color="auto"/>
              <w:bottom w:val="nil"/>
              <w:right w:val="single" w:sz="8" w:space="0" w:color="auto"/>
            </w:tcBorders>
            <w:shd w:val="clear" w:color="auto" w:fill="auto"/>
            <w:hideMark/>
          </w:tcPr>
          <w:p w:rsidR="005A4A68" w:rsidRPr="005A4A68" w:rsidRDefault="005A4A68" w:rsidP="005A4A68">
            <w:pPr>
              <w:jc w:val="center"/>
              <w:rPr>
                <w:rFonts w:ascii="Arial" w:hAnsi="Arial" w:cs="Arial"/>
                <w:b/>
                <w:bCs/>
                <w:color w:val="000000"/>
                <w:sz w:val="18"/>
                <w:szCs w:val="20"/>
              </w:rPr>
            </w:pPr>
            <w:r w:rsidRPr="005A4A68">
              <w:rPr>
                <w:rFonts w:ascii="Arial" w:hAnsi="Arial" w:cs="Arial"/>
                <w:b/>
                <w:bCs/>
                <w:color w:val="000000"/>
                <w:sz w:val="18"/>
                <w:szCs w:val="20"/>
              </w:rPr>
              <w:t>Catégories</w:t>
            </w:r>
          </w:p>
        </w:tc>
        <w:tc>
          <w:tcPr>
            <w:tcW w:w="738" w:type="pct"/>
            <w:tcBorders>
              <w:top w:val="nil"/>
              <w:left w:val="nil"/>
              <w:bottom w:val="nil"/>
              <w:right w:val="single" w:sz="8" w:space="0" w:color="auto"/>
            </w:tcBorders>
            <w:shd w:val="clear" w:color="auto" w:fill="auto"/>
            <w:hideMark/>
          </w:tcPr>
          <w:p w:rsidR="005A4A68" w:rsidRPr="005A4A68" w:rsidRDefault="005A4A68" w:rsidP="005A4A68">
            <w:pPr>
              <w:jc w:val="center"/>
              <w:rPr>
                <w:rFonts w:ascii="Arial" w:hAnsi="Arial" w:cs="Arial"/>
                <w:b/>
                <w:bCs/>
                <w:color w:val="000000"/>
                <w:sz w:val="18"/>
                <w:szCs w:val="20"/>
              </w:rPr>
            </w:pPr>
            <w:r w:rsidRPr="005A4A68">
              <w:rPr>
                <w:rFonts w:ascii="Arial" w:hAnsi="Arial" w:cs="Arial"/>
                <w:b/>
                <w:bCs/>
                <w:color w:val="000000"/>
                <w:sz w:val="18"/>
                <w:szCs w:val="20"/>
              </w:rPr>
              <w:t>Niveaux</w:t>
            </w:r>
          </w:p>
        </w:tc>
        <w:tc>
          <w:tcPr>
            <w:tcW w:w="3331" w:type="pct"/>
            <w:gridSpan w:val="4"/>
            <w:tcBorders>
              <w:top w:val="single" w:sz="8" w:space="0" w:color="auto"/>
              <w:left w:val="nil"/>
              <w:bottom w:val="single" w:sz="8" w:space="0" w:color="auto"/>
              <w:right w:val="single" w:sz="8" w:space="0" w:color="000000"/>
            </w:tcBorders>
            <w:shd w:val="clear" w:color="auto" w:fill="auto"/>
            <w:hideMark/>
          </w:tcPr>
          <w:p w:rsidR="005A4A68" w:rsidRPr="005A4A68" w:rsidRDefault="005A4A68" w:rsidP="005A4A68">
            <w:pPr>
              <w:jc w:val="center"/>
              <w:rPr>
                <w:rFonts w:ascii="Arial" w:hAnsi="Arial" w:cs="Arial"/>
                <w:b/>
                <w:bCs/>
                <w:color w:val="000000"/>
                <w:sz w:val="18"/>
                <w:szCs w:val="20"/>
              </w:rPr>
            </w:pPr>
            <w:r w:rsidRPr="005A4A68">
              <w:rPr>
                <w:rFonts w:ascii="Arial" w:hAnsi="Arial" w:cs="Arial"/>
                <w:b/>
                <w:bCs/>
                <w:color w:val="000000"/>
                <w:sz w:val="18"/>
                <w:szCs w:val="20"/>
              </w:rPr>
              <w:t>Echelons</w:t>
            </w:r>
          </w:p>
        </w:tc>
      </w:tr>
      <w:tr w:rsidR="005A4A68" w:rsidRPr="005A4A68" w:rsidTr="00F016B9">
        <w:trPr>
          <w:trHeight w:val="315"/>
        </w:trPr>
        <w:tc>
          <w:tcPr>
            <w:tcW w:w="931" w:type="pct"/>
            <w:tcBorders>
              <w:top w:val="nil"/>
              <w:left w:val="single" w:sz="8" w:space="0" w:color="auto"/>
              <w:bottom w:val="single" w:sz="8" w:space="0" w:color="auto"/>
              <w:right w:val="single" w:sz="8" w:space="0" w:color="auto"/>
            </w:tcBorders>
            <w:shd w:val="clear" w:color="auto" w:fill="auto"/>
            <w:hideMark/>
          </w:tcPr>
          <w:p w:rsidR="005A4A68" w:rsidRPr="005A4A68" w:rsidRDefault="005A4A68" w:rsidP="005A4A68">
            <w:pPr>
              <w:rPr>
                <w:rFonts w:ascii="Calibri" w:hAnsi="Calibri"/>
                <w:color w:val="000000"/>
                <w:sz w:val="18"/>
                <w:szCs w:val="20"/>
              </w:rPr>
            </w:pPr>
            <w:r w:rsidRPr="005A4A68">
              <w:rPr>
                <w:rFonts w:ascii="Calibri" w:hAnsi="Calibri"/>
                <w:color w:val="000000"/>
                <w:sz w:val="18"/>
                <w:szCs w:val="20"/>
              </w:rPr>
              <w:t> </w:t>
            </w:r>
          </w:p>
        </w:tc>
        <w:tc>
          <w:tcPr>
            <w:tcW w:w="738" w:type="pct"/>
            <w:tcBorders>
              <w:top w:val="nil"/>
              <w:left w:val="nil"/>
              <w:bottom w:val="single" w:sz="8" w:space="0" w:color="auto"/>
              <w:right w:val="single" w:sz="8" w:space="0" w:color="auto"/>
            </w:tcBorders>
            <w:shd w:val="clear" w:color="auto" w:fill="auto"/>
            <w:hideMark/>
          </w:tcPr>
          <w:p w:rsidR="005A4A68" w:rsidRPr="005A4A68" w:rsidRDefault="005A4A68" w:rsidP="005A4A68">
            <w:pPr>
              <w:rPr>
                <w:rFonts w:ascii="Calibri" w:hAnsi="Calibri"/>
                <w:color w:val="000000"/>
                <w:sz w:val="18"/>
                <w:szCs w:val="20"/>
              </w:rPr>
            </w:pPr>
            <w:r w:rsidRPr="005A4A68">
              <w:rPr>
                <w:rFonts w:ascii="Calibri" w:hAnsi="Calibri"/>
                <w:color w:val="000000"/>
                <w:sz w:val="18"/>
                <w:szCs w:val="20"/>
              </w:rPr>
              <w:t> </w:t>
            </w:r>
          </w:p>
        </w:tc>
        <w:tc>
          <w:tcPr>
            <w:tcW w:w="914" w:type="pct"/>
            <w:tcBorders>
              <w:top w:val="nil"/>
              <w:left w:val="nil"/>
              <w:bottom w:val="single" w:sz="8" w:space="0" w:color="auto"/>
              <w:right w:val="single" w:sz="8" w:space="0" w:color="auto"/>
            </w:tcBorders>
            <w:shd w:val="clear" w:color="auto" w:fill="auto"/>
            <w:hideMark/>
          </w:tcPr>
          <w:p w:rsidR="005A4A68" w:rsidRPr="005A4A68" w:rsidRDefault="005A4A68" w:rsidP="005A4A68">
            <w:pPr>
              <w:jc w:val="center"/>
              <w:rPr>
                <w:rFonts w:ascii="Arial" w:hAnsi="Arial" w:cs="Arial"/>
                <w:b/>
                <w:bCs/>
                <w:color w:val="000000"/>
                <w:sz w:val="18"/>
                <w:szCs w:val="20"/>
              </w:rPr>
            </w:pPr>
            <w:r w:rsidRPr="005A4A68">
              <w:rPr>
                <w:rFonts w:ascii="Arial" w:hAnsi="Arial" w:cs="Arial"/>
                <w:b/>
                <w:bCs/>
                <w:color w:val="000000"/>
                <w:sz w:val="18"/>
                <w:szCs w:val="20"/>
              </w:rPr>
              <w:t>Embauche</w:t>
            </w:r>
          </w:p>
        </w:tc>
        <w:tc>
          <w:tcPr>
            <w:tcW w:w="861" w:type="pct"/>
            <w:tcBorders>
              <w:top w:val="nil"/>
              <w:left w:val="nil"/>
              <w:bottom w:val="single" w:sz="8" w:space="0" w:color="auto"/>
              <w:right w:val="single" w:sz="8" w:space="0" w:color="auto"/>
            </w:tcBorders>
            <w:shd w:val="clear" w:color="auto" w:fill="auto"/>
            <w:hideMark/>
          </w:tcPr>
          <w:p w:rsidR="005A4A68" w:rsidRPr="005A4A68" w:rsidRDefault="005A4A68" w:rsidP="005A4A68">
            <w:pPr>
              <w:jc w:val="center"/>
              <w:rPr>
                <w:rFonts w:ascii="Arial" w:hAnsi="Arial" w:cs="Arial"/>
                <w:b/>
                <w:bCs/>
                <w:color w:val="000000"/>
                <w:sz w:val="18"/>
                <w:szCs w:val="20"/>
              </w:rPr>
            </w:pPr>
            <w:r w:rsidRPr="005A4A68">
              <w:rPr>
                <w:rFonts w:ascii="Arial" w:hAnsi="Arial" w:cs="Arial"/>
                <w:b/>
                <w:bCs/>
                <w:color w:val="000000"/>
                <w:sz w:val="18"/>
                <w:szCs w:val="20"/>
              </w:rPr>
              <w:t>Confirmé</w:t>
            </w:r>
          </w:p>
        </w:tc>
        <w:tc>
          <w:tcPr>
            <w:tcW w:w="778" w:type="pct"/>
            <w:tcBorders>
              <w:top w:val="nil"/>
              <w:left w:val="nil"/>
              <w:bottom w:val="single" w:sz="8" w:space="0" w:color="auto"/>
              <w:right w:val="single" w:sz="8" w:space="0" w:color="auto"/>
            </w:tcBorders>
            <w:shd w:val="clear" w:color="auto" w:fill="auto"/>
            <w:hideMark/>
          </w:tcPr>
          <w:p w:rsidR="005A4A68" w:rsidRPr="005A4A68" w:rsidRDefault="005A4A68" w:rsidP="005A4A68">
            <w:pPr>
              <w:jc w:val="center"/>
              <w:rPr>
                <w:rFonts w:ascii="Arial" w:hAnsi="Arial" w:cs="Arial"/>
                <w:b/>
                <w:bCs/>
                <w:color w:val="000000"/>
                <w:sz w:val="20"/>
                <w:szCs w:val="20"/>
              </w:rPr>
            </w:pPr>
            <w:r w:rsidRPr="005A4A68">
              <w:rPr>
                <w:rFonts w:ascii="Arial" w:hAnsi="Arial" w:cs="Arial"/>
                <w:b/>
                <w:bCs/>
                <w:color w:val="000000"/>
                <w:sz w:val="20"/>
                <w:szCs w:val="20"/>
              </w:rPr>
              <w:t>Maîtrisé</w:t>
            </w:r>
          </w:p>
        </w:tc>
        <w:tc>
          <w:tcPr>
            <w:tcW w:w="778" w:type="pct"/>
            <w:tcBorders>
              <w:top w:val="nil"/>
              <w:left w:val="nil"/>
              <w:bottom w:val="single" w:sz="8" w:space="0" w:color="auto"/>
              <w:right w:val="single" w:sz="8" w:space="0" w:color="auto"/>
            </w:tcBorders>
            <w:shd w:val="clear" w:color="auto" w:fill="auto"/>
            <w:hideMark/>
          </w:tcPr>
          <w:p w:rsidR="005A4A68" w:rsidRPr="005A4A68" w:rsidRDefault="005A4A68" w:rsidP="005A4A68">
            <w:pPr>
              <w:jc w:val="center"/>
              <w:rPr>
                <w:rFonts w:ascii="Arial" w:hAnsi="Arial" w:cs="Arial"/>
                <w:b/>
                <w:bCs/>
                <w:color w:val="000000"/>
                <w:sz w:val="20"/>
                <w:szCs w:val="20"/>
              </w:rPr>
            </w:pPr>
            <w:r w:rsidRPr="005A4A68">
              <w:rPr>
                <w:rFonts w:ascii="Arial" w:hAnsi="Arial" w:cs="Arial"/>
                <w:b/>
                <w:bCs/>
                <w:color w:val="000000"/>
                <w:sz w:val="20"/>
                <w:szCs w:val="20"/>
              </w:rPr>
              <w:t>Expert</w:t>
            </w:r>
          </w:p>
        </w:tc>
      </w:tr>
      <w:tr w:rsidR="005A4A68" w:rsidRPr="005A4A68" w:rsidTr="00F016B9">
        <w:trPr>
          <w:trHeight w:val="300"/>
        </w:trPr>
        <w:tc>
          <w:tcPr>
            <w:tcW w:w="931" w:type="pct"/>
            <w:tcBorders>
              <w:top w:val="nil"/>
              <w:left w:val="single" w:sz="8" w:space="0" w:color="auto"/>
              <w:bottom w:val="nil"/>
              <w:right w:val="single" w:sz="8" w:space="0" w:color="auto"/>
            </w:tcBorders>
            <w:shd w:val="clear" w:color="auto" w:fill="auto"/>
            <w:hideMark/>
          </w:tcPr>
          <w:p w:rsidR="005A4A68" w:rsidRPr="005A4A68" w:rsidRDefault="005A4A68" w:rsidP="005A4A68">
            <w:pPr>
              <w:jc w:val="center"/>
              <w:rPr>
                <w:rFonts w:ascii="Arial" w:hAnsi="Arial" w:cs="Arial"/>
                <w:b/>
                <w:bCs/>
                <w:color w:val="000000"/>
                <w:sz w:val="18"/>
                <w:szCs w:val="20"/>
              </w:rPr>
            </w:pPr>
            <w:r w:rsidRPr="005A4A68">
              <w:rPr>
                <w:rFonts w:ascii="Arial" w:hAnsi="Arial" w:cs="Arial"/>
                <w:b/>
                <w:bCs/>
                <w:color w:val="000000"/>
                <w:sz w:val="18"/>
                <w:szCs w:val="20"/>
              </w:rPr>
              <w:t>V</w:t>
            </w:r>
          </w:p>
        </w:tc>
        <w:tc>
          <w:tcPr>
            <w:tcW w:w="738" w:type="pct"/>
            <w:tcBorders>
              <w:top w:val="nil"/>
              <w:left w:val="nil"/>
              <w:bottom w:val="nil"/>
              <w:right w:val="single" w:sz="8" w:space="0" w:color="auto"/>
            </w:tcBorders>
            <w:shd w:val="clear" w:color="auto" w:fill="auto"/>
            <w:hideMark/>
          </w:tcPr>
          <w:p w:rsidR="005A4A68" w:rsidRPr="005A4A68" w:rsidRDefault="005A4A68" w:rsidP="005A4A68">
            <w:pPr>
              <w:jc w:val="center"/>
              <w:rPr>
                <w:rFonts w:ascii="Arial" w:hAnsi="Arial" w:cs="Arial"/>
                <w:color w:val="000000"/>
                <w:sz w:val="18"/>
                <w:szCs w:val="20"/>
              </w:rPr>
            </w:pPr>
            <w:r w:rsidRPr="005A4A68">
              <w:rPr>
                <w:rFonts w:ascii="Arial" w:hAnsi="Arial" w:cs="Arial"/>
                <w:color w:val="000000"/>
                <w:sz w:val="18"/>
                <w:szCs w:val="20"/>
              </w:rPr>
              <w:t>Ad, tech,</w:t>
            </w:r>
          </w:p>
        </w:tc>
        <w:tc>
          <w:tcPr>
            <w:tcW w:w="914" w:type="pct"/>
            <w:vMerge w:val="restart"/>
            <w:tcBorders>
              <w:top w:val="nil"/>
              <w:left w:val="single" w:sz="8" w:space="0" w:color="auto"/>
              <w:bottom w:val="single" w:sz="8" w:space="0" w:color="000000"/>
              <w:right w:val="single" w:sz="8" w:space="0" w:color="auto"/>
            </w:tcBorders>
            <w:shd w:val="clear" w:color="auto" w:fill="auto"/>
            <w:hideMark/>
          </w:tcPr>
          <w:p w:rsidR="005A4A68" w:rsidRPr="005A4A68" w:rsidRDefault="005A4A68" w:rsidP="005A4A68">
            <w:pPr>
              <w:jc w:val="right"/>
              <w:rPr>
                <w:rFonts w:ascii="Arial" w:hAnsi="Arial" w:cs="Arial"/>
                <w:color w:val="000000"/>
                <w:sz w:val="18"/>
                <w:szCs w:val="20"/>
              </w:rPr>
            </w:pPr>
            <w:r w:rsidRPr="005A4A68">
              <w:rPr>
                <w:rFonts w:ascii="Arial" w:hAnsi="Arial" w:cs="Arial"/>
                <w:color w:val="000000"/>
                <w:sz w:val="18"/>
                <w:szCs w:val="20"/>
              </w:rPr>
              <w:t>2</w:t>
            </w:r>
            <w:r>
              <w:rPr>
                <w:rFonts w:ascii="Arial" w:hAnsi="Arial" w:cs="Arial"/>
                <w:color w:val="000000"/>
                <w:sz w:val="18"/>
                <w:szCs w:val="20"/>
              </w:rPr>
              <w:t> 727,97</w:t>
            </w:r>
          </w:p>
        </w:tc>
        <w:tc>
          <w:tcPr>
            <w:tcW w:w="861" w:type="pct"/>
            <w:vMerge w:val="restart"/>
            <w:tcBorders>
              <w:top w:val="nil"/>
              <w:left w:val="single" w:sz="8" w:space="0" w:color="auto"/>
              <w:bottom w:val="single" w:sz="8" w:space="0" w:color="000000"/>
              <w:right w:val="single" w:sz="8" w:space="0" w:color="auto"/>
            </w:tcBorders>
            <w:shd w:val="clear" w:color="auto" w:fill="auto"/>
            <w:hideMark/>
          </w:tcPr>
          <w:p w:rsidR="005A4A68" w:rsidRPr="005A4A68" w:rsidRDefault="005A4A68" w:rsidP="005A4A68">
            <w:pPr>
              <w:jc w:val="right"/>
              <w:rPr>
                <w:rFonts w:ascii="Arial" w:hAnsi="Arial" w:cs="Arial"/>
                <w:color w:val="000000"/>
                <w:sz w:val="18"/>
                <w:szCs w:val="20"/>
              </w:rPr>
            </w:pPr>
            <w:r w:rsidRPr="005A4A68">
              <w:rPr>
                <w:rFonts w:ascii="Arial" w:hAnsi="Arial" w:cs="Arial"/>
                <w:color w:val="000000"/>
                <w:sz w:val="18"/>
                <w:szCs w:val="20"/>
              </w:rPr>
              <w:t>2</w:t>
            </w:r>
            <w:r>
              <w:rPr>
                <w:rFonts w:ascii="Arial" w:hAnsi="Arial" w:cs="Arial"/>
                <w:color w:val="000000"/>
                <w:sz w:val="18"/>
                <w:szCs w:val="20"/>
              </w:rPr>
              <w:t> 782,53</w:t>
            </w:r>
          </w:p>
        </w:tc>
        <w:tc>
          <w:tcPr>
            <w:tcW w:w="778" w:type="pct"/>
            <w:vMerge w:val="restart"/>
            <w:tcBorders>
              <w:top w:val="nil"/>
              <w:left w:val="single" w:sz="8" w:space="0" w:color="auto"/>
              <w:bottom w:val="single" w:sz="8" w:space="0" w:color="000000"/>
              <w:right w:val="single" w:sz="8" w:space="0" w:color="auto"/>
            </w:tcBorders>
            <w:shd w:val="clear" w:color="auto" w:fill="auto"/>
            <w:hideMark/>
          </w:tcPr>
          <w:p w:rsidR="005A4A68" w:rsidRPr="005A4A68" w:rsidRDefault="005A4A68" w:rsidP="005A4A68">
            <w:pPr>
              <w:jc w:val="right"/>
              <w:rPr>
                <w:rFonts w:ascii="Arial" w:hAnsi="Arial" w:cs="Arial"/>
                <w:color w:val="000000"/>
                <w:sz w:val="18"/>
                <w:szCs w:val="20"/>
              </w:rPr>
            </w:pPr>
            <w:r w:rsidRPr="005A4A68">
              <w:rPr>
                <w:rFonts w:ascii="Arial" w:hAnsi="Arial" w:cs="Arial"/>
                <w:color w:val="000000"/>
                <w:sz w:val="18"/>
                <w:szCs w:val="20"/>
              </w:rPr>
              <w:t>2 921,66</w:t>
            </w:r>
          </w:p>
        </w:tc>
        <w:tc>
          <w:tcPr>
            <w:tcW w:w="778" w:type="pct"/>
            <w:vMerge w:val="restart"/>
            <w:tcBorders>
              <w:top w:val="nil"/>
              <w:left w:val="single" w:sz="8" w:space="0" w:color="auto"/>
              <w:bottom w:val="single" w:sz="8" w:space="0" w:color="000000"/>
              <w:right w:val="single" w:sz="8" w:space="0" w:color="auto"/>
            </w:tcBorders>
            <w:shd w:val="clear" w:color="auto" w:fill="auto"/>
            <w:hideMark/>
          </w:tcPr>
          <w:p w:rsidR="005A4A68" w:rsidRPr="005A4A68" w:rsidRDefault="005A4A68" w:rsidP="005A4A68">
            <w:pPr>
              <w:jc w:val="right"/>
              <w:rPr>
                <w:rFonts w:ascii="Arial" w:hAnsi="Arial" w:cs="Arial"/>
                <w:color w:val="000000"/>
                <w:sz w:val="18"/>
                <w:szCs w:val="20"/>
              </w:rPr>
            </w:pPr>
            <w:r w:rsidRPr="005A4A68">
              <w:rPr>
                <w:rFonts w:ascii="Arial" w:hAnsi="Arial" w:cs="Arial"/>
                <w:color w:val="000000"/>
                <w:sz w:val="18"/>
                <w:szCs w:val="20"/>
              </w:rPr>
              <w:t>3126,18</w:t>
            </w:r>
          </w:p>
        </w:tc>
      </w:tr>
      <w:tr w:rsidR="005A4A68" w:rsidRPr="005A4A68" w:rsidTr="00F016B9">
        <w:trPr>
          <w:trHeight w:val="161"/>
        </w:trPr>
        <w:tc>
          <w:tcPr>
            <w:tcW w:w="931" w:type="pct"/>
            <w:tcBorders>
              <w:top w:val="nil"/>
              <w:left w:val="single" w:sz="8" w:space="0" w:color="auto"/>
              <w:bottom w:val="nil"/>
              <w:right w:val="single" w:sz="8" w:space="0" w:color="auto"/>
            </w:tcBorders>
            <w:shd w:val="clear" w:color="auto" w:fill="auto"/>
            <w:noWrap/>
            <w:vAlign w:val="bottom"/>
            <w:hideMark/>
          </w:tcPr>
          <w:p w:rsidR="005A4A68" w:rsidRPr="005A4A68" w:rsidRDefault="005A4A68" w:rsidP="005A4A68">
            <w:pPr>
              <w:rPr>
                <w:rFonts w:ascii="Calibri" w:hAnsi="Calibri"/>
                <w:color w:val="000000"/>
                <w:sz w:val="18"/>
                <w:szCs w:val="20"/>
              </w:rPr>
            </w:pPr>
            <w:r w:rsidRPr="005A4A68">
              <w:rPr>
                <w:rFonts w:ascii="Calibri" w:hAnsi="Calibri"/>
                <w:color w:val="000000"/>
                <w:sz w:val="18"/>
                <w:szCs w:val="20"/>
              </w:rPr>
              <w:t> </w:t>
            </w:r>
          </w:p>
        </w:tc>
        <w:tc>
          <w:tcPr>
            <w:tcW w:w="738" w:type="pct"/>
            <w:tcBorders>
              <w:top w:val="nil"/>
              <w:left w:val="nil"/>
              <w:bottom w:val="single" w:sz="8" w:space="0" w:color="auto"/>
              <w:right w:val="single" w:sz="8" w:space="0" w:color="auto"/>
            </w:tcBorders>
            <w:shd w:val="clear" w:color="auto" w:fill="auto"/>
            <w:hideMark/>
          </w:tcPr>
          <w:p w:rsidR="005A4A68" w:rsidRPr="005A4A68" w:rsidRDefault="005A4A68" w:rsidP="005A4A68">
            <w:pPr>
              <w:jc w:val="center"/>
              <w:rPr>
                <w:rFonts w:ascii="Arial" w:hAnsi="Arial" w:cs="Arial"/>
                <w:color w:val="000000"/>
                <w:sz w:val="18"/>
                <w:szCs w:val="20"/>
              </w:rPr>
            </w:pPr>
            <w:r w:rsidRPr="005A4A68">
              <w:rPr>
                <w:rFonts w:ascii="Arial" w:hAnsi="Arial" w:cs="Arial"/>
                <w:color w:val="000000"/>
                <w:sz w:val="18"/>
                <w:szCs w:val="20"/>
              </w:rPr>
              <w:t>com</w:t>
            </w:r>
          </w:p>
        </w:tc>
        <w:tc>
          <w:tcPr>
            <w:tcW w:w="914" w:type="pct"/>
            <w:vMerge/>
            <w:tcBorders>
              <w:top w:val="nil"/>
              <w:left w:val="single" w:sz="8" w:space="0" w:color="auto"/>
              <w:bottom w:val="single" w:sz="8" w:space="0" w:color="000000"/>
              <w:right w:val="single" w:sz="8" w:space="0" w:color="auto"/>
            </w:tcBorders>
            <w:vAlign w:val="center"/>
            <w:hideMark/>
          </w:tcPr>
          <w:p w:rsidR="005A4A68" w:rsidRPr="005A4A68" w:rsidRDefault="005A4A68" w:rsidP="005A4A68">
            <w:pPr>
              <w:rPr>
                <w:rFonts w:ascii="Arial" w:hAnsi="Arial" w:cs="Arial"/>
                <w:color w:val="000000"/>
                <w:sz w:val="18"/>
                <w:szCs w:val="20"/>
              </w:rPr>
            </w:pPr>
          </w:p>
        </w:tc>
        <w:tc>
          <w:tcPr>
            <w:tcW w:w="861" w:type="pct"/>
            <w:vMerge/>
            <w:tcBorders>
              <w:top w:val="nil"/>
              <w:left w:val="single" w:sz="8" w:space="0" w:color="auto"/>
              <w:bottom w:val="single" w:sz="8" w:space="0" w:color="000000"/>
              <w:right w:val="single" w:sz="8" w:space="0" w:color="auto"/>
            </w:tcBorders>
            <w:vAlign w:val="center"/>
            <w:hideMark/>
          </w:tcPr>
          <w:p w:rsidR="005A4A68" w:rsidRPr="005A4A68" w:rsidRDefault="005A4A68" w:rsidP="005A4A68">
            <w:pPr>
              <w:rPr>
                <w:rFonts w:ascii="Arial" w:hAnsi="Arial" w:cs="Arial"/>
                <w:color w:val="000000"/>
                <w:sz w:val="18"/>
                <w:szCs w:val="20"/>
              </w:rPr>
            </w:pPr>
          </w:p>
        </w:tc>
        <w:tc>
          <w:tcPr>
            <w:tcW w:w="778" w:type="pct"/>
            <w:vMerge/>
            <w:tcBorders>
              <w:top w:val="nil"/>
              <w:left w:val="single" w:sz="8" w:space="0" w:color="auto"/>
              <w:bottom w:val="single" w:sz="8" w:space="0" w:color="000000"/>
              <w:right w:val="single" w:sz="8" w:space="0" w:color="auto"/>
            </w:tcBorders>
            <w:vAlign w:val="center"/>
            <w:hideMark/>
          </w:tcPr>
          <w:p w:rsidR="005A4A68" w:rsidRPr="005A4A68" w:rsidRDefault="005A4A68" w:rsidP="005A4A68">
            <w:pPr>
              <w:rPr>
                <w:rFonts w:ascii="Arial" w:hAnsi="Arial" w:cs="Arial"/>
                <w:color w:val="000000"/>
                <w:sz w:val="20"/>
                <w:szCs w:val="20"/>
              </w:rPr>
            </w:pPr>
          </w:p>
        </w:tc>
        <w:tc>
          <w:tcPr>
            <w:tcW w:w="778" w:type="pct"/>
            <w:vMerge/>
            <w:tcBorders>
              <w:top w:val="nil"/>
              <w:left w:val="single" w:sz="8" w:space="0" w:color="auto"/>
              <w:bottom w:val="single" w:sz="8" w:space="0" w:color="000000"/>
              <w:right w:val="single" w:sz="8" w:space="0" w:color="auto"/>
            </w:tcBorders>
            <w:vAlign w:val="center"/>
            <w:hideMark/>
          </w:tcPr>
          <w:p w:rsidR="005A4A68" w:rsidRPr="005A4A68" w:rsidRDefault="005A4A68" w:rsidP="005A4A68">
            <w:pPr>
              <w:rPr>
                <w:rFonts w:ascii="Arial" w:hAnsi="Arial" w:cs="Arial"/>
                <w:color w:val="000000"/>
                <w:sz w:val="20"/>
                <w:szCs w:val="20"/>
              </w:rPr>
            </w:pPr>
          </w:p>
        </w:tc>
      </w:tr>
      <w:tr w:rsidR="005A4A68" w:rsidRPr="005A4A68" w:rsidTr="005A4A68">
        <w:trPr>
          <w:trHeight w:val="300"/>
        </w:trPr>
        <w:tc>
          <w:tcPr>
            <w:tcW w:w="931" w:type="pct"/>
            <w:tcBorders>
              <w:top w:val="nil"/>
              <w:left w:val="single" w:sz="8" w:space="0" w:color="auto"/>
              <w:bottom w:val="nil"/>
              <w:right w:val="single" w:sz="8" w:space="0" w:color="auto"/>
            </w:tcBorders>
            <w:shd w:val="clear" w:color="auto" w:fill="auto"/>
            <w:hideMark/>
          </w:tcPr>
          <w:p w:rsidR="005A4A68" w:rsidRPr="005A4A68" w:rsidRDefault="005A4A68" w:rsidP="005A4A68">
            <w:pPr>
              <w:jc w:val="center"/>
              <w:rPr>
                <w:rFonts w:ascii="Arial" w:hAnsi="Arial" w:cs="Arial"/>
                <w:b/>
                <w:bCs/>
                <w:color w:val="000000"/>
                <w:sz w:val="18"/>
                <w:szCs w:val="20"/>
              </w:rPr>
            </w:pPr>
            <w:r w:rsidRPr="005A4A68">
              <w:rPr>
                <w:rFonts w:ascii="Arial" w:hAnsi="Arial" w:cs="Arial"/>
                <w:b/>
                <w:bCs/>
                <w:color w:val="000000"/>
                <w:sz w:val="18"/>
                <w:szCs w:val="20"/>
              </w:rPr>
              <w:t>Cadres</w:t>
            </w:r>
          </w:p>
        </w:tc>
        <w:tc>
          <w:tcPr>
            <w:tcW w:w="738" w:type="pct"/>
            <w:vMerge w:val="restart"/>
            <w:tcBorders>
              <w:top w:val="nil"/>
              <w:left w:val="nil"/>
              <w:bottom w:val="single" w:sz="8" w:space="0" w:color="000000"/>
              <w:right w:val="single" w:sz="8" w:space="0" w:color="auto"/>
            </w:tcBorders>
            <w:shd w:val="clear" w:color="auto" w:fill="auto"/>
            <w:hideMark/>
          </w:tcPr>
          <w:p w:rsidR="005A4A68" w:rsidRPr="005A4A68" w:rsidRDefault="005A4A68" w:rsidP="005A4A68">
            <w:pPr>
              <w:jc w:val="center"/>
              <w:rPr>
                <w:rFonts w:ascii="Arial" w:hAnsi="Arial" w:cs="Arial"/>
                <w:color w:val="000000"/>
                <w:sz w:val="18"/>
                <w:szCs w:val="20"/>
              </w:rPr>
            </w:pPr>
            <w:r w:rsidRPr="005A4A68">
              <w:rPr>
                <w:rFonts w:ascii="Arial" w:hAnsi="Arial" w:cs="Arial"/>
                <w:color w:val="000000"/>
                <w:sz w:val="18"/>
                <w:szCs w:val="20"/>
              </w:rPr>
              <w:t>Direction</w:t>
            </w:r>
          </w:p>
        </w:tc>
        <w:tc>
          <w:tcPr>
            <w:tcW w:w="914" w:type="pct"/>
            <w:vMerge w:val="restart"/>
            <w:tcBorders>
              <w:top w:val="nil"/>
              <w:left w:val="single" w:sz="8" w:space="0" w:color="auto"/>
              <w:bottom w:val="single" w:sz="8" w:space="0" w:color="000000"/>
              <w:right w:val="single" w:sz="8" w:space="0" w:color="auto"/>
            </w:tcBorders>
            <w:shd w:val="clear" w:color="auto" w:fill="auto"/>
            <w:hideMark/>
          </w:tcPr>
          <w:p w:rsidR="005A4A68" w:rsidRPr="005A4A68" w:rsidRDefault="005A4A68" w:rsidP="005A4A68">
            <w:pPr>
              <w:jc w:val="right"/>
              <w:rPr>
                <w:rFonts w:ascii="Arial" w:hAnsi="Arial" w:cs="Arial"/>
                <w:color w:val="000000"/>
                <w:sz w:val="18"/>
                <w:szCs w:val="20"/>
              </w:rPr>
            </w:pPr>
            <w:r w:rsidRPr="005A4A68">
              <w:rPr>
                <w:rFonts w:ascii="Arial" w:hAnsi="Arial" w:cs="Arial"/>
                <w:color w:val="000000"/>
                <w:sz w:val="18"/>
                <w:szCs w:val="20"/>
              </w:rPr>
              <w:t xml:space="preserve">3 </w:t>
            </w:r>
            <w:r>
              <w:rPr>
                <w:rFonts w:ascii="Arial" w:hAnsi="Arial" w:cs="Arial"/>
                <w:color w:val="000000"/>
                <w:sz w:val="18"/>
                <w:szCs w:val="20"/>
              </w:rPr>
              <w:t>394</w:t>
            </w:r>
            <w:r w:rsidRPr="005A4A68">
              <w:rPr>
                <w:rFonts w:ascii="Arial" w:hAnsi="Arial" w:cs="Arial"/>
                <w:color w:val="000000"/>
                <w:sz w:val="18"/>
                <w:szCs w:val="20"/>
              </w:rPr>
              <w:t>,</w:t>
            </w:r>
            <w:r>
              <w:rPr>
                <w:rFonts w:ascii="Arial" w:hAnsi="Arial" w:cs="Arial"/>
                <w:color w:val="000000"/>
                <w:sz w:val="18"/>
                <w:szCs w:val="20"/>
              </w:rPr>
              <w:t>60</w:t>
            </w:r>
          </w:p>
        </w:tc>
        <w:tc>
          <w:tcPr>
            <w:tcW w:w="2417" w:type="pct"/>
            <w:gridSpan w:val="3"/>
            <w:vMerge w:val="restart"/>
            <w:tcBorders>
              <w:top w:val="single" w:sz="8" w:space="0" w:color="auto"/>
              <w:left w:val="single" w:sz="8" w:space="0" w:color="auto"/>
              <w:bottom w:val="single" w:sz="8" w:space="0" w:color="000000"/>
              <w:right w:val="single" w:sz="8" w:space="0" w:color="000000"/>
            </w:tcBorders>
            <w:shd w:val="clear" w:color="auto" w:fill="auto"/>
            <w:hideMark/>
          </w:tcPr>
          <w:p w:rsidR="005A4A68" w:rsidRPr="005A4A68" w:rsidRDefault="005A4A68" w:rsidP="005A4A68">
            <w:pPr>
              <w:jc w:val="center"/>
              <w:rPr>
                <w:rFonts w:ascii="Arial" w:hAnsi="Arial" w:cs="Arial"/>
                <w:color w:val="000000"/>
                <w:sz w:val="18"/>
                <w:szCs w:val="20"/>
              </w:rPr>
            </w:pPr>
            <w:r>
              <w:rPr>
                <w:rFonts w:ascii="Arial" w:hAnsi="Arial" w:cs="Arial"/>
                <w:color w:val="000000"/>
                <w:sz w:val="18"/>
                <w:szCs w:val="20"/>
              </w:rPr>
              <w:t>3 486,82</w:t>
            </w:r>
            <w:r w:rsidRPr="005A4A68">
              <w:rPr>
                <w:rFonts w:ascii="Arial" w:hAnsi="Arial" w:cs="Arial"/>
                <w:color w:val="000000"/>
                <w:sz w:val="18"/>
                <w:szCs w:val="20"/>
              </w:rPr>
              <w:t xml:space="preserve"> + différentiel/salaire réel</w:t>
            </w:r>
          </w:p>
        </w:tc>
      </w:tr>
      <w:tr w:rsidR="005A4A68" w:rsidRPr="005A4A68" w:rsidTr="005A4A68">
        <w:trPr>
          <w:trHeight w:val="315"/>
        </w:trPr>
        <w:tc>
          <w:tcPr>
            <w:tcW w:w="931" w:type="pct"/>
            <w:tcBorders>
              <w:top w:val="nil"/>
              <w:left w:val="single" w:sz="8" w:space="0" w:color="auto"/>
              <w:bottom w:val="single" w:sz="8" w:space="0" w:color="auto"/>
              <w:right w:val="single" w:sz="8" w:space="0" w:color="auto"/>
            </w:tcBorders>
            <w:shd w:val="clear" w:color="auto" w:fill="auto"/>
            <w:hideMark/>
          </w:tcPr>
          <w:p w:rsidR="005A4A68" w:rsidRPr="005A4A68" w:rsidRDefault="005A4A68" w:rsidP="005A4A68">
            <w:pPr>
              <w:jc w:val="center"/>
              <w:rPr>
                <w:rFonts w:ascii="Arial" w:hAnsi="Arial" w:cs="Arial"/>
                <w:color w:val="000000"/>
                <w:sz w:val="20"/>
                <w:szCs w:val="20"/>
              </w:rPr>
            </w:pPr>
            <w:r w:rsidRPr="005A4A68">
              <w:rPr>
                <w:rFonts w:ascii="Arial" w:hAnsi="Arial" w:cs="Arial"/>
                <w:color w:val="000000"/>
                <w:sz w:val="20"/>
                <w:szCs w:val="20"/>
              </w:rPr>
              <w:t> </w:t>
            </w:r>
          </w:p>
        </w:tc>
        <w:tc>
          <w:tcPr>
            <w:tcW w:w="738" w:type="pct"/>
            <w:vMerge/>
            <w:tcBorders>
              <w:top w:val="nil"/>
              <w:left w:val="nil"/>
              <w:bottom w:val="single" w:sz="8" w:space="0" w:color="000000"/>
              <w:right w:val="single" w:sz="8" w:space="0" w:color="auto"/>
            </w:tcBorders>
            <w:vAlign w:val="center"/>
            <w:hideMark/>
          </w:tcPr>
          <w:p w:rsidR="005A4A68" w:rsidRPr="005A4A68" w:rsidRDefault="005A4A68" w:rsidP="005A4A68">
            <w:pPr>
              <w:rPr>
                <w:rFonts w:ascii="Arial" w:hAnsi="Arial" w:cs="Arial"/>
                <w:color w:val="000000"/>
                <w:sz w:val="20"/>
                <w:szCs w:val="20"/>
              </w:rPr>
            </w:pPr>
          </w:p>
        </w:tc>
        <w:tc>
          <w:tcPr>
            <w:tcW w:w="914" w:type="pct"/>
            <w:vMerge/>
            <w:tcBorders>
              <w:top w:val="nil"/>
              <w:left w:val="single" w:sz="8" w:space="0" w:color="auto"/>
              <w:bottom w:val="single" w:sz="8" w:space="0" w:color="000000"/>
              <w:right w:val="single" w:sz="8" w:space="0" w:color="auto"/>
            </w:tcBorders>
            <w:vAlign w:val="center"/>
            <w:hideMark/>
          </w:tcPr>
          <w:p w:rsidR="005A4A68" w:rsidRPr="005A4A68" w:rsidRDefault="005A4A68" w:rsidP="005A4A68">
            <w:pPr>
              <w:rPr>
                <w:rFonts w:ascii="Arial" w:hAnsi="Arial" w:cs="Arial"/>
                <w:color w:val="000000"/>
                <w:sz w:val="20"/>
                <w:szCs w:val="20"/>
              </w:rPr>
            </w:pPr>
          </w:p>
        </w:tc>
        <w:tc>
          <w:tcPr>
            <w:tcW w:w="2417" w:type="pct"/>
            <w:gridSpan w:val="3"/>
            <w:vMerge/>
            <w:tcBorders>
              <w:top w:val="single" w:sz="8" w:space="0" w:color="auto"/>
              <w:left w:val="single" w:sz="8" w:space="0" w:color="auto"/>
              <w:bottom w:val="single" w:sz="8" w:space="0" w:color="000000"/>
              <w:right w:val="single" w:sz="8" w:space="0" w:color="000000"/>
            </w:tcBorders>
            <w:vAlign w:val="center"/>
            <w:hideMark/>
          </w:tcPr>
          <w:p w:rsidR="005A4A68" w:rsidRPr="005A4A68" w:rsidRDefault="005A4A68" w:rsidP="005A4A68">
            <w:pPr>
              <w:rPr>
                <w:rFonts w:ascii="Arial" w:hAnsi="Arial" w:cs="Arial"/>
                <w:color w:val="000000"/>
                <w:sz w:val="20"/>
                <w:szCs w:val="20"/>
              </w:rPr>
            </w:pPr>
          </w:p>
        </w:tc>
      </w:tr>
    </w:tbl>
    <w:p w:rsidR="005A4A68" w:rsidRDefault="005A4A68" w:rsidP="00162B6C">
      <w:pPr>
        <w:jc w:val="both"/>
        <w:rPr>
          <w:rFonts w:ascii="Calibri" w:eastAsia="Calibri" w:hAnsi="Calibri"/>
          <w:bCs/>
          <w:sz w:val="22"/>
          <w:szCs w:val="22"/>
          <w:lang w:eastAsia="en-US"/>
        </w:rPr>
      </w:pPr>
    </w:p>
    <w:p w:rsidR="007103B5" w:rsidRPr="00AA44F1" w:rsidRDefault="005A4A68" w:rsidP="00AA44F1">
      <w:pPr>
        <w:pBdr>
          <w:top w:val="single" w:sz="4" w:space="1" w:color="auto"/>
          <w:left w:val="single" w:sz="4" w:space="4" w:color="auto"/>
          <w:bottom w:val="single" w:sz="4" w:space="1" w:color="auto"/>
          <w:right w:val="single" w:sz="4" w:space="4" w:color="auto"/>
        </w:pBdr>
        <w:jc w:val="both"/>
        <w:rPr>
          <w:rFonts w:ascii="Calibri" w:eastAsia="Calibri" w:hAnsi="Calibri"/>
          <w:bCs/>
          <w:i/>
          <w:sz w:val="22"/>
          <w:szCs w:val="22"/>
          <w:lang w:eastAsia="en-US"/>
        </w:rPr>
      </w:pPr>
      <w:r w:rsidRPr="00AA44F1">
        <w:rPr>
          <w:rFonts w:ascii="Calibri" w:eastAsia="Calibri" w:hAnsi="Calibri"/>
          <w:bCs/>
          <w:i/>
          <w:sz w:val="22"/>
          <w:szCs w:val="22"/>
          <w:lang w:eastAsia="en-US"/>
        </w:rPr>
        <w:t xml:space="preserve">Exemples : </w:t>
      </w:r>
    </w:p>
    <w:p w:rsidR="005A4A68" w:rsidRPr="00AA44F1" w:rsidRDefault="005A4A68" w:rsidP="00AA44F1">
      <w:pPr>
        <w:pBdr>
          <w:top w:val="single" w:sz="4" w:space="1" w:color="auto"/>
          <w:left w:val="single" w:sz="4" w:space="4" w:color="auto"/>
          <w:bottom w:val="single" w:sz="4" w:space="1" w:color="auto"/>
          <w:right w:val="single" w:sz="4" w:space="4" w:color="auto"/>
        </w:pBdr>
        <w:jc w:val="both"/>
        <w:rPr>
          <w:rFonts w:ascii="Calibri" w:eastAsia="Calibri" w:hAnsi="Calibri"/>
          <w:bCs/>
          <w:i/>
          <w:sz w:val="22"/>
          <w:szCs w:val="22"/>
          <w:lang w:eastAsia="en-US"/>
        </w:rPr>
      </w:pPr>
    </w:p>
    <w:p w:rsidR="005A4A68" w:rsidRPr="00AA44F1" w:rsidRDefault="005A4A68" w:rsidP="00AA44F1">
      <w:pPr>
        <w:pBdr>
          <w:top w:val="single" w:sz="4" w:space="1" w:color="auto"/>
          <w:left w:val="single" w:sz="4" w:space="4" w:color="auto"/>
          <w:bottom w:val="single" w:sz="4" w:space="1" w:color="auto"/>
          <w:right w:val="single" w:sz="4" w:space="4" w:color="auto"/>
        </w:pBdr>
        <w:jc w:val="both"/>
        <w:rPr>
          <w:rFonts w:ascii="Calibri" w:eastAsia="Calibri" w:hAnsi="Calibri"/>
          <w:bCs/>
          <w:i/>
          <w:sz w:val="22"/>
          <w:szCs w:val="22"/>
          <w:lang w:eastAsia="en-US"/>
        </w:rPr>
      </w:pPr>
      <w:r w:rsidRPr="00AA44F1">
        <w:rPr>
          <w:rFonts w:ascii="Calibri" w:eastAsia="Calibri" w:hAnsi="Calibri"/>
          <w:bCs/>
          <w:i/>
          <w:sz w:val="22"/>
          <w:szCs w:val="22"/>
          <w:lang w:eastAsia="en-US"/>
        </w:rPr>
        <w:t xml:space="preserve">Un cadre </w:t>
      </w:r>
      <w:r w:rsidR="00AA44F1" w:rsidRPr="00AA44F1">
        <w:rPr>
          <w:rFonts w:ascii="Calibri" w:eastAsia="Calibri" w:hAnsi="Calibri"/>
          <w:bCs/>
          <w:i/>
          <w:sz w:val="22"/>
          <w:szCs w:val="22"/>
          <w:lang w:eastAsia="en-US"/>
        </w:rPr>
        <w:t xml:space="preserve">intégré </w:t>
      </w:r>
      <w:r w:rsidRPr="00AA44F1">
        <w:rPr>
          <w:rFonts w:ascii="Calibri" w:eastAsia="Calibri" w:hAnsi="Calibri"/>
          <w:bCs/>
          <w:i/>
          <w:sz w:val="22"/>
          <w:szCs w:val="22"/>
          <w:lang w:eastAsia="en-US"/>
        </w:rPr>
        <w:t>à l’échelon maîtrisé effectuant 35 heures par mois payé 2 656,05€ brut mensuel qui signe une convention de forfaits jours verra son salaire majoré de 10% soit 2 921,66€.</w:t>
      </w:r>
    </w:p>
    <w:p w:rsidR="005A4A68" w:rsidRPr="00AA44F1" w:rsidRDefault="005A4A68" w:rsidP="00AA44F1">
      <w:pPr>
        <w:pBdr>
          <w:top w:val="single" w:sz="4" w:space="1" w:color="auto"/>
          <w:left w:val="single" w:sz="4" w:space="4" w:color="auto"/>
          <w:bottom w:val="single" w:sz="4" w:space="1" w:color="auto"/>
          <w:right w:val="single" w:sz="4" w:space="4" w:color="auto"/>
        </w:pBdr>
        <w:jc w:val="both"/>
        <w:rPr>
          <w:rFonts w:ascii="Calibri" w:eastAsia="Calibri" w:hAnsi="Calibri"/>
          <w:bCs/>
          <w:i/>
          <w:sz w:val="22"/>
          <w:szCs w:val="22"/>
          <w:lang w:eastAsia="en-US"/>
        </w:rPr>
      </w:pPr>
    </w:p>
    <w:p w:rsidR="000269E3" w:rsidRPr="000269E3" w:rsidRDefault="000269E3" w:rsidP="000269E3">
      <w:pPr>
        <w:pBdr>
          <w:top w:val="single" w:sz="4" w:space="1" w:color="auto"/>
          <w:left w:val="single" w:sz="4" w:space="4" w:color="auto"/>
          <w:bottom w:val="single" w:sz="4" w:space="1" w:color="auto"/>
          <w:right w:val="single" w:sz="4" w:space="4" w:color="auto"/>
        </w:pBdr>
        <w:jc w:val="both"/>
        <w:rPr>
          <w:rFonts w:ascii="Calibri" w:eastAsia="Calibri" w:hAnsi="Calibri"/>
          <w:bCs/>
          <w:i/>
          <w:sz w:val="22"/>
          <w:szCs w:val="22"/>
          <w:lang w:eastAsia="en-US"/>
        </w:rPr>
      </w:pPr>
      <w:r w:rsidRPr="000269E3">
        <w:rPr>
          <w:rFonts w:ascii="Calibri" w:eastAsia="Calibri" w:hAnsi="Calibri"/>
          <w:bCs/>
          <w:i/>
          <w:sz w:val="22"/>
          <w:szCs w:val="22"/>
          <w:lang w:eastAsia="en-US"/>
        </w:rPr>
        <w:t>Un cadre intégré à l’échelon maîtrisé effectuant 40 heures :</w:t>
      </w:r>
    </w:p>
    <w:p w:rsidR="000269E3" w:rsidRPr="000269E3" w:rsidRDefault="000269E3" w:rsidP="000269E3">
      <w:pPr>
        <w:pBdr>
          <w:top w:val="single" w:sz="4" w:space="1" w:color="auto"/>
          <w:left w:val="single" w:sz="4" w:space="4" w:color="auto"/>
          <w:bottom w:val="single" w:sz="4" w:space="1" w:color="auto"/>
          <w:right w:val="single" w:sz="4" w:space="4" w:color="auto"/>
        </w:pBdr>
        <w:jc w:val="both"/>
        <w:rPr>
          <w:rFonts w:ascii="Calibri" w:eastAsia="Calibri" w:hAnsi="Calibri"/>
          <w:bCs/>
          <w:i/>
          <w:sz w:val="22"/>
          <w:szCs w:val="22"/>
          <w:lang w:eastAsia="en-US"/>
        </w:rPr>
      </w:pPr>
      <w:r w:rsidRPr="000269E3">
        <w:rPr>
          <w:rFonts w:ascii="Calibri" w:eastAsia="Calibri" w:hAnsi="Calibri"/>
          <w:bCs/>
          <w:i/>
          <w:sz w:val="22"/>
          <w:szCs w:val="22"/>
          <w:lang w:eastAsia="en-US"/>
        </w:rPr>
        <w:t>- soit 35 heures hebdomadaires (salaire mensuel = 2921,66€)</w:t>
      </w:r>
    </w:p>
    <w:p w:rsidR="007103B5" w:rsidRPr="000269E3" w:rsidRDefault="000269E3" w:rsidP="000269E3">
      <w:pPr>
        <w:pBdr>
          <w:top w:val="single" w:sz="4" w:space="1" w:color="auto"/>
          <w:left w:val="single" w:sz="4" w:space="4" w:color="auto"/>
          <w:bottom w:val="single" w:sz="4" w:space="1" w:color="auto"/>
          <w:right w:val="single" w:sz="4" w:space="4" w:color="auto"/>
        </w:pBdr>
        <w:jc w:val="both"/>
        <w:rPr>
          <w:rFonts w:ascii="Calibri" w:eastAsia="Calibri" w:hAnsi="Calibri"/>
          <w:bCs/>
          <w:i/>
          <w:sz w:val="22"/>
          <w:szCs w:val="22"/>
          <w:lang w:eastAsia="en-US"/>
        </w:rPr>
      </w:pPr>
      <w:r w:rsidRPr="000269E3">
        <w:rPr>
          <w:rFonts w:ascii="Calibri" w:eastAsia="Calibri" w:hAnsi="Calibri"/>
          <w:bCs/>
          <w:i/>
          <w:sz w:val="22"/>
          <w:szCs w:val="22"/>
          <w:lang w:eastAsia="en-US"/>
        </w:rPr>
        <w:t xml:space="preserve">- + 5 heures supplémentaires par </w:t>
      </w:r>
      <w:r w:rsidR="001569D9">
        <w:rPr>
          <w:rFonts w:ascii="Calibri" w:eastAsia="Calibri" w:hAnsi="Calibri"/>
          <w:bCs/>
          <w:i/>
          <w:sz w:val="22"/>
          <w:szCs w:val="22"/>
          <w:lang w:eastAsia="en-US"/>
        </w:rPr>
        <w:t>semaine</w:t>
      </w:r>
      <w:r w:rsidRPr="000269E3">
        <w:rPr>
          <w:rFonts w:ascii="Calibri" w:eastAsia="Calibri" w:hAnsi="Calibri"/>
          <w:bCs/>
          <w:i/>
          <w:sz w:val="22"/>
          <w:szCs w:val="22"/>
          <w:lang w:eastAsia="en-US"/>
        </w:rPr>
        <w:t xml:space="preserve"> soit 21,66 HS structurelles (HS=521,55€) payé 3443,21 € brut mensuel qui signe une convention de forfaits jours, son salaire étant supérieur au SMG de sa catégorie et de son échelon majoré de 10%, il ne bénéficiera pas de la majoration de salaire prévue par l’accord de branche. Une majoration du salaire pourra toutefois être négociée de manière individuelle</w:t>
      </w:r>
    </w:p>
    <w:p w:rsidR="007103B5" w:rsidRDefault="007103B5" w:rsidP="00162B6C">
      <w:pPr>
        <w:jc w:val="both"/>
        <w:rPr>
          <w:rFonts w:ascii="Calibri" w:eastAsia="Calibri" w:hAnsi="Calibri"/>
          <w:bCs/>
          <w:sz w:val="22"/>
          <w:szCs w:val="22"/>
          <w:lang w:eastAsia="en-US"/>
        </w:rPr>
      </w:pPr>
    </w:p>
    <w:p w:rsidR="007B5C62" w:rsidRPr="00D636D0" w:rsidRDefault="00161F7C" w:rsidP="007B5C62">
      <w:pPr>
        <w:jc w:val="both"/>
        <w:rPr>
          <w:rFonts w:ascii="Calibri" w:eastAsia="Calibri" w:hAnsi="Calibri"/>
          <w:b/>
          <w:bCs/>
          <w:sz w:val="22"/>
          <w:szCs w:val="22"/>
          <w:lang w:eastAsia="en-US"/>
        </w:rPr>
      </w:pPr>
      <w:r>
        <w:rPr>
          <w:rFonts w:ascii="Calibri" w:eastAsia="Calibri" w:hAnsi="Calibri"/>
          <w:bCs/>
          <w:sz w:val="22"/>
          <w:szCs w:val="22"/>
          <w:lang w:eastAsia="en-US"/>
        </w:rPr>
        <w:br w:type="page"/>
      </w:r>
      <w:r w:rsidR="00D636D0" w:rsidRPr="00D636D0">
        <w:rPr>
          <w:rFonts w:ascii="Calibri" w:eastAsia="Calibri" w:hAnsi="Calibri"/>
          <w:b/>
          <w:bCs/>
          <w:sz w:val="22"/>
          <w:szCs w:val="22"/>
          <w:lang w:eastAsia="en-US"/>
        </w:rPr>
        <w:lastRenderedPageBreak/>
        <w:t>Modèle</w:t>
      </w:r>
      <w:r w:rsidRPr="00D636D0">
        <w:rPr>
          <w:rFonts w:ascii="Calibri" w:eastAsia="Calibri" w:hAnsi="Calibri"/>
          <w:b/>
          <w:bCs/>
          <w:sz w:val="22"/>
          <w:szCs w:val="22"/>
          <w:lang w:eastAsia="en-US"/>
        </w:rPr>
        <w:t> :</w:t>
      </w:r>
    </w:p>
    <w:p w:rsidR="00161F7C" w:rsidRDefault="00161F7C" w:rsidP="007B5C62">
      <w:pPr>
        <w:jc w:val="both"/>
        <w:rPr>
          <w:rFonts w:ascii="Calibri" w:eastAsia="Calibri" w:hAnsi="Calibri"/>
          <w:bCs/>
          <w:sz w:val="22"/>
          <w:szCs w:val="22"/>
          <w:lang w:eastAsia="en-US"/>
        </w:rPr>
      </w:pPr>
    </w:p>
    <w:p w:rsidR="00161F7C" w:rsidRDefault="00161F7C" w:rsidP="007B5C62">
      <w:pPr>
        <w:jc w:val="both"/>
        <w:rPr>
          <w:rFonts w:ascii="Calibri" w:eastAsia="Calibri" w:hAnsi="Calibri"/>
          <w:bCs/>
          <w:sz w:val="22"/>
          <w:szCs w:val="22"/>
          <w:lang w:eastAsia="en-US"/>
        </w:rPr>
      </w:pPr>
      <w:r>
        <w:rPr>
          <w:rFonts w:ascii="Calibri" w:eastAsia="Calibri" w:hAnsi="Calibri"/>
          <w:bCs/>
          <w:sz w:val="22"/>
          <w:szCs w:val="22"/>
          <w:lang w:eastAsia="en-US"/>
        </w:rPr>
        <w:t>Vous trouverez ci-après :</w:t>
      </w:r>
    </w:p>
    <w:p w:rsidR="00161F7C" w:rsidRDefault="00161F7C" w:rsidP="007B5C62">
      <w:pPr>
        <w:jc w:val="both"/>
        <w:rPr>
          <w:rFonts w:ascii="Calibri" w:eastAsia="Calibri" w:hAnsi="Calibri"/>
          <w:bCs/>
          <w:sz w:val="22"/>
          <w:szCs w:val="22"/>
          <w:lang w:eastAsia="en-US"/>
        </w:rPr>
      </w:pPr>
    </w:p>
    <w:p w:rsidR="00161F7C" w:rsidRDefault="00161F7C" w:rsidP="00161F7C">
      <w:pPr>
        <w:numPr>
          <w:ilvl w:val="0"/>
          <w:numId w:val="20"/>
        </w:numPr>
        <w:jc w:val="both"/>
        <w:rPr>
          <w:rFonts w:ascii="Calibri" w:eastAsia="Calibri" w:hAnsi="Calibri"/>
          <w:bCs/>
          <w:sz w:val="22"/>
          <w:szCs w:val="22"/>
          <w:lang w:eastAsia="en-US"/>
        </w:rPr>
      </w:pPr>
      <w:r>
        <w:rPr>
          <w:rFonts w:ascii="Calibri" w:eastAsia="Calibri" w:hAnsi="Calibri"/>
          <w:bCs/>
          <w:sz w:val="22"/>
          <w:szCs w:val="22"/>
          <w:lang w:eastAsia="en-US"/>
        </w:rPr>
        <w:t>Un modèle d’avenant au contrat de travail convention de forfait en jours : à annexer au contrat de travail.</w:t>
      </w:r>
    </w:p>
    <w:p w:rsidR="00161F7C" w:rsidRDefault="00161F7C" w:rsidP="00161F7C">
      <w:pPr>
        <w:jc w:val="both"/>
        <w:rPr>
          <w:rFonts w:ascii="Calibri" w:eastAsia="Calibri" w:hAnsi="Calibri"/>
          <w:bCs/>
          <w:sz w:val="22"/>
          <w:szCs w:val="22"/>
          <w:lang w:eastAsia="en-US"/>
        </w:rPr>
      </w:pPr>
    </w:p>
    <w:p w:rsidR="00161F7C" w:rsidRDefault="000F1234" w:rsidP="000F1234">
      <w:pPr>
        <w:ind w:left="708"/>
        <w:jc w:val="both"/>
        <w:rPr>
          <w:rFonts w:ascii="Calibri" w:eastAsia="Calibri" w:hAnsi="Calibri"/>
          <w:bCs/>
          <w:sz w:val="22"/>
          <w:szCs w:val="22"/>
          <w:lang w:eastAsia="en-US"/>
        </w:rPr>
      </w:pPr>
      <w:r>
        <w:rPr>
          <w:rFonts w:ascii="Calibri" w:eastAsia="Calibri" w:hAnsi="Calibri"/>
          <w:bCs/>
          <w:sz w:val="22"/>
          <w:szCs w:val="22"/>
          <w:lang w:eastAsia="en-US"/>
        </w:rPr>
        <w:t>Nous vous informons que c</w:t>
      </w:r>
      <w:r w:rsidR="00161F7C">
        <w:rPr>
          <w:rFonts w:ascii="Calibri" w:eastAsia="Calibri" w:hAnsi="Calibri"/>
          <w:bCs/>
          <w:sz w:val="22"/>
          <w:szCs w:val="22"/>
          <w:lang w:eastAsia="en-US"/>
        </w:rPr>
        <w:t>e modèle a été annexé à l’accord signé le 11 juillet 2013, il fera l’objet d’une modification lors de la prochaine commission paritaire afin d’éviter toute confusion</w:t>
      </w:r>
      <w:r>
        <w:rPr>
          <w:rFonts w:ascii="Calibri" w:eastAsia="Calibri" w:hAnsi="Calibri"/>
          <w:bCs/>
          <w:sz w:val="22"/>
          <w:szCs w:val="22"/>
          <w:lang w:eastAsia="en-US"/>
        </w:rPr>
        <w:t xml:space="preserve"> au paragraphe 7/ sur la rémunération, la phrase « cette rémunération est versée par douzième ». Nous vous rappelons qu’en cas de doute sur la rémunération à prendre en compte, il est nécessaire de se référer à l’accord lui-même et à l’article 5.</w:t>
      </w:r>
    </w:p>
    <w:p w:rsidR="00D636D0" w:rsidRDefault="00D636D0" w:rsidP="000F1234">
      <w:pPr>
        <w:ind w:left="708"/>
        <w:jc w:val="both"/>
        <w:rPr>
          <w:rFonts w:ascii="Calibri" w:eastAsia="Calibri" w:hAnsi="Calibri"/>
          <w:bCs/>
          <w:sz w:val="22"/>
          <w:szCs w:val="22"/>
          <w:lang w:eastAsia="en-US"/>
        </w:rPr>
      </w:pPr>
    </w:p>
    <w:p w:rsidR="00D636D0" w:rsidRDefault="00D636D0" w:rsidP="000F1234">
      <w:pPr>
        <w:ind w:left="708"/>
        <w:jc w:val="both"/>
        <w:rPr>
          <w:rFonts w:ascii="Calibri" w:eastAsia="Calibri" w:hAnsi="Calibri"/>
          <w:bCs/>
          <w:sz w:val="22"/>
          <w:szCs w:val="22"/>
          <w:lang w:eastAsia="en-US"/>
        </w:rPr>
      </w:pPr>
      <w:r>
        <w:rPr>
          <w:rFonts w:ascii="Calibri" w:eastAsia="Calibri" w:hAnsi="Calibri"/>
          <w:bCs/>
          <w:sz w:val="22"/>
          <w:szCs w:val="22"/>
          <w:lang w:eastAsia="en-US"/>
        </w:rPr>
        <w:t>La version ci-après est donc la version corrigée.</w:t>
      </w:r>
    </w:p>
    <w:p w:rsidR="00D636D0" w:rsidRDefault="00D636D0" w:rsidP="000F1234">
      <w:pPr>
        <w:ind w:left="708"/>
        <w:jc w:val="both"/>
        <w:rPr>
          <w:rFonts w:ascii="Calibri" w:eastAsia="Calibri" w:hAnsi="Calibri"/>
          <w:bCs/>
          <w:sz w:val="22"/>
          <w:szCs w:val="22"/>
          <w:lang w:eastAsia="en-US"/>
        </w:rPr>
      </w:pPr>
    </w:p>
    <w:p w:rsidR="00D636D0" w:rsidRDefault="00D636D0" w:rsidP="000F1234">
      <w:pPr>
        <w:ind w:left="708"/>
        <w:jc w:val="both"/>
        <w:rPr>
          <w:rFonts w:ascii="Calibri" w:eastAsia="Calibri" w:hAnsi="Calibri"/>
          <w:bCs/>
          <w:sz w:val="22"/>
          <w:szCs w:val="22"/>
          <w:lang w:eastAsia="en-US"/>
        </w:rPr>
      </w:pPr>
    </w:p>
    <w:p w:rsidR="00D636D0" w:rsidRDefault="00D636D0" w:rsidP="000F1234">
      <w:pPr>
        <w:ind w:left="708"/>
        <w:jc w:val="both"/>
        <w:rPr>
          <w:rFonts w:ascii="Calibri" w:eastAsia="Calibri" w:hAnsi="Calibri"/>
          <w:bCs/>
          <w:sz w:val="22"/>
          <w:szCs w:val="22"/>
          <w:lang w:eastAsia="en-US"/>
        </w:rPr>
      </w:pPr>
    </w:p>
    <w:p w:rsidR="00D636D0" w:rsidRDefault="00D636D0" w:rsidP="000F1234">
      <w:pPr>
        <w:ind w:left="708"/>
        <w:jc w:val="both"/>
        <w:rPr>
          <w:rFonts w:ascii="Calibri" w:eastAsia="Calibri" w:hAnsi="Calibri"/>
          <w:bCs/>
          <w:sz w:val="22"/>
          <w:szCs w:val="22"/>
          <w:lang w:eastAsia="en-US"/>
        </w:rPr>
      </w:pPr>
    </w:p>
    <w:p w:rsidR="00D636D0" w:rsidRDefault="00D636D0" w:rsidP="000F1234">
      <w:pPr>
        <w:ind w:left="708"/>
        <w:jc w:val="both"/>
        <w:rPr>
          <w:rFonts w:ascii="Calibri" w:eastAsia="Calibri" w:hAnsi="Calibri"/>
          <w:bCs/>
          <w:sz w:val="22"/>
          <w:szCs w:val="22"/>
          <w:lang w:eastAsia="en-US"/>
        </w:rPr>
      </w:pPr>
    </w:p>
    <w:p w:rsidR="00D636D0" w:rsidRDefault="00D636D0" w:rsidP="000F1234">
      <w:pPr>
        <w:ind w:left="708"/>
        <w:jc w:val="both"/>
        <w:rPr>
          <w:rFonts w:ascii="Calibri" w:eastAsia="Calibri" w:hAnsi="Calibri"/>
          <w:bCs/>
          <w:sz w:val="22"/>
          <w:szCs w:val="22"/>
          <w:lang w:eastAsia="en-US"/>
        </w:rPr>
      </w:pPr>
    </w:p>
    <w:p w:rsidR="00D636D0" w:rsidRDefault="00D636D0" w:rsidP="000F1234">
      <w:pPr>
        <w:ind w:left="708"/>
        <w:jc w:val="both"/>
        <w:rPr>
          <w:rFonts w:ascii="Calibri" w:eastAsia="Calibri" w:hAnsi="Calibri"/>
          <w:bCs/>
          <w:sz w:val="22"/>
          <w:szCs w:val="22"/>
          <w:lang w:eastAsia="en-US"/>
        </w:rPr>
      </w:pPr>
    </w:p>
    <w:p w:rsidR="00D636D0" w:rsidRDefault="00D636D0" w:rsidP="000F1234">
      <w:pPr>
        <w:ind w:left="708"/>
        <w:jc w:val="both"/>
        <w:rPr>
          <w:rFonts w:ascii="Calibri" w:eastAsia="Calibri" w:hAnsi="Calibri"/>
          <w:bCs/>
          <w:sz w:val="22"/>
          <w:szCs w:val="22"/>
          <w:lang w:eastAsia="en-US"/>
        </w:rPr>
      </w:pPr>
    </w:p>
    <w:p w:rsidR="00D636D0" w:rsidRDefault="00D636D0" w:rsidP="000F1234">
      <w:pPr>
        <w:ind w:left="708"/>
        <w:jc w:val="both"/>
        <w:rPr>
          <w:rFonts w:ascii="Calibri" w:eastAsia="Calibri" w:hAnsi="Calibri"/>
          <w:bCs/>
          <w:sz w:val="22"/>
          <w:szCs w:val="22"/>
          <w:lang w:eastAsia="en-US"/>
        </w:rPr>
      </w:pPr>
    </w:p>
    <w:p w:rsidR="00D636D0" w:rsidRDefault="00D636D0" w:rsidP="000F1234">
      <w:pPr>
        <w:ind w:left="708"/>
        <w:jc w:val="both"/>
        <w:rPr>
          <w:rFonts w:ascii="Calibri" w:eastAsia="Calibri" w:hAnsi="Calibri"/>
          <w:bCs/>
          <w:sz w:val="22"/>
          <w:szCs w:val="22"/>
          <w:lang w:eastAsia="en-US"/>
        </w:rPr>
      </w:pPr>
      <w:r>
        <w:rPr>
          <w:rFonts w:ascii="Calibri" w:eastAsia="Calibri" w:hAnsi="Calibri"/>
          <w:bCs/>
          <w:sz w:val="22"/>
          <w:szCs w:val="22"/>
          <w:lang w:eastAsia="en-US"/>
        </w:rPr>
        <w:br w:type="page"/>
      </w:r>
    </w:p>
    <w:p w:rsidR="00D636D0" w:rsidRPr="00E738C0" w:rsidRDefault="00D636D0" w:rsidP="00D636D0">
      <w:pPr>
        <w:jc w:val="both"/>
        <w:rPr>
          <w:rFonts w:ascii="Arial" w:hAnsi="Arial" w:cs="Arial"/>
          <w:sz w:val="22"/>
          <w:szCs w:val="22"/>
        </w:rPr>
      </w:pPr>
    </w:p>
    <w:p w:rsidR="00D636D0" w:rsidRPr="00E738C0" w:rsidRDefault="00D636D0" w:rsidP="00D636D0">
      <w:pPr>
        <w:jc w:val="center"/>
        <w:rPr>
          <w:rFonts w:ascii="Arial" w:hAnsi="Arial" w:cs="Arial"/>
          <w:b/>
          <w:sz w:val="22"/>
          <w:szCs w:val="22"/>
        </w:rPr>
      </w:pPr>
      <w:r w:rsidRPr="00E738C0">
        <w:rPr>
          <w:rFonts w:ascii="Arial" w:hAnsi="Arial" w:cs="Arial"/>
          <w:b/>
          <w:sz w:val="22"/>
          <w:szCs w:val="22"/>
        </w:rPr>
        <w:t>Modèle de convention de forfait</w:t>
      </w:r>
      <w:r>
        <w:rPr>
          <w:rFonts w:ascii="Arial" w:hAnsi="Arial" w:cs="Arial"/>
          <w:b/>
          <w:sz w:val="22"/>
          <w:szCs w:val="22"/>
        </w:rPr>
        <w:t xml:space="preserve"> en jours</w:t>
      </w:r>
    </w:p>
    <w:p w:rsidR="00D636D0" w:rsidRPr="00E738C0" w:rsidRDefault="00D636D0" w:rsidP="00D636D0">
      <w:pPr>
        <w:jc w:val="center"/>
        <w:rPr>
          <w:rFonts w:ascii="Arial" w:hAnsi="Arial" w:cs="Arial"/>
          <w:sz w:val="22"/>
          <w:szCs w:val="22"/>
        </w:rPr>
      </w:pPr>
    </w:p>
    <w:p w:rsidR="00D636D0" w:rsidRDefault="00D636D0" w:rsidP="00D636D0">
      <w:pPr>
        <w:jc w:val="both"/>
        <w:rPr>
          <w:rFonts w:ascii="Arial" w:hAnsi="Arial" w:cs="Arial"/>
          <w:sz w:val="22"/>
          <w:szCs w:val="22"/>
        </w:rPr>
      </w:pPr>
    </w:p>
    <w:p w:rsidR="00D636D0" w:rsidRPr="00E738C0" w:rsidRDefault="00D636D0" w:rsidP="00D636D0">
      <w:pPr>
        <w:jc w:val="both"/>
        <w:rPr>
          <w:rFonts w:ascii="Arial" w:hAnsi="Arial" w:cs="Arial"/>
          <w:sz w:val="22"/>
          <w:szCs w:val="22"/>
        </w:rPr>
      </w:pPr>
    </w:p>
    <w:p w:rsidR="00D636D0" w:rsidRPr="00E738C0" w:rsidRDefault="00D636D0" w:rsidP="00D636D0">
      <w:pPr>
        <w:shd w:val="pct20" w:color="auto" w:fill="auto"/>
        <w:jc w:val="center"/>
        <w:rPr>
          <w:rFonts w:ascii="Arial" w:hAnsi="Arial" w:cs="Arial"/>
          <w:b/>
          <w:sz w:val="22"/>
          <w:szCs w:val="22"/>
        </w:rPr>
      </w:pPr>
      <w:r w:rsidRPr="00E738C0">
        <w:rPr>
          <w:rFonts w:ascii="Arial" w:hAnsi="Arial" w:cs="Arial"/>
          <w:b/>
          <w:sz w:val="22"/>
          <w:szCs w:val="22"/>
        </w:rPr>
        <w:t>Convention individuelle de forfait annuel en jours</w:t>
      </w:r>
    </w:p>
    <w:p w:rsidR="00D636D0" w:rsidRPr="00E738C0" w:rsidRDefault="00D636D0" w:rsidP="00D636D0">
      <w:pPr>
        <w:rPr>
          <w:rFonts w:ascii="Arial" w:hAnsi="Arial" w:cs="Arial"/>
          <w:i/>
          <w:sz w:val="22"/>
          <w:szCs w:val="22"/>
        </w:rPr>
      </w:pPr>
    </w:p>
    <w:p w:rsidR="00D636D0" w:rsidRPr="00E738C0" w:rsidRDefault="00D636D0" w:rsidP="00D636D0">
      <w:pPr>
        <w:rPr>
          <w:rFonts w:ascii="Arial" w:hAnsi="Arial" w:cs="Arial"/>
          <w:i/>
          <w:sz w:val="22"/>
          <w:szCs w:val="22"/>
        </w:rPr>
      </w:pPr>
    </w:p>
    <w:p w:rsidR="00D636D0" w:rsidRPr="00E738C0" w:rsidRDefault="00D636D0" w:rsidP="00D636D0">
      <w:pPr>
        <w:rPr>
          <w:rFonts w:ascii="Arial" w:hAnsi="Arial" w:cs="Arial"/>
          <w:i/>
          <w:sz w:val="22"/>
          <w:szCs w:val="22"/>
        </w:rPr>
      </w:pPr>
    </w:p>
    <w:p w:rsidR="00D636D0" w:rsidRPr="00E738C0" w:rsidRDefault="00D636D0" w:rsidP="00D636D0">
      <w:pPr>
        <w:rPr>
          <w:rFonts w:ascii="Arial" w:hAnsi="Arial" w:cs="Arial"/>
          <w:i/>
          <w:sz w:val="22"/>
          <w:szCs w:val="22"/>
        </w:rPr>
      </w:pPr>
      <w:r w:rsidRPr="00E738C0">
        <w:rPr>
          <w:rFonts w:ascii="Arial" w:hAnsi="Arial" w:cs="Arial"/>
          <w:sz w:val="22"/>
          <w:szCs w:val="22"/>
        </w:rPr>
        <w:t>Entre d’une part</w:t>
      </w:r>
      <w:r w:rsidRPr="00E738C0">
        <w:rPr>
          <w:rFonts w:ascii="Arial" w:hAnsi="Arial" w:cs="Arial"/>
          <w:i/>
          <w:sz w:val="22"/>
          <w:szCs w:val="22"/>
        </w:rPr>
        <w:t xml:space="preserve">, …… raison sociale et adresse de l’employeur ….. , </w:t>
      </w:r>
      <w:r w:rsidRPr="00E738C0">
        <w:rPr>
          <w:rFonts w:ascii="Arial" w:hAnsi="Arial" w:cs="Arial"/>
          <w:sz w:val="22"/>
          <w:szCs w:val="22"/>
        </w:rPr>
        <w:t>représentée par</w:t>
      </w:r>
      <w:r w:rsidRPr="00E738C0">
        <w:rPr>
          <w:rFonts w:ascii="Arial" w:hAnsi="Arial" w:cs="Arial"/>
          <w:i/>
          <w:sz w:val="22"/>
          <w:szCs w:val="22"/>
        </w:rPr>
        <w:t xml:space="preserve"> ……… </w:t>
      </w:r>
      <w:r w:rsidRPr="00E738C0">
        <w:rPr>
          <w:rFonts w:ascii="Arial" w:hAnsi="Arial" w:cs="Arial"/>
          <w:sz w:val="22"/>
          <w:szCs w:val="22"/>
        </w:rPr>
        <w:t xml:space="preserve">en qualité de </w:t>
      </w:r>
      <w:r w:rsidRPr="00E738C0">
        <w:rPr>
          <w:rFonts w:ascii="Arial" w:hAnsi="Arial" w:cs="Arial"/>
          <w:i/>
          <w:sz w:val="22"/>
          <w:szCs w:val="22"/>
        </w:rPr>
        <w:t>…………………</w:t>
      </w:r>
    </w:p>
    <w:p w:rsidR="00D636D0" w:rsidRPr="00E738C0" w:rsidRDefault="00D636D0" w:rsidP="00D636D0">
      <w:pPr>
        <w:rPr>
          <w:rFonts w:ascii="Arial" w:hAnsi="Arial" w:cs="Arial"/>
          <w:i/>
          <w:sz w:val="22"/>
          <w:szCs w:val="22"/>
        </w:rPr>
      </w:pPr>
    </w:p>
    <w:p w:rsidR="00D636D0" w:rsidRPr="00E738C0" w:rsidRDefault="00D636D0" w:rsidP="00D636D0">
      <w:pPr>
        <w:rPr>
          <w:rFonts w:ascii="Arial" w:hAnsi="Arial" w:cs="Arial"/>
          <w:sz w:val="22"/>
          <w:szCs w:val="22"/>
        </w:rPr>
      </w:pPr>
      <w:r w:rsidRPr="00E738C0">
        <w:rPr>
          <w:rFonts w:ascii="Arial" w:hAnsi="Arial" w:cs="Arial"/>
          <w:sz w:val="22"/>
          <w:szCs w:val="22"/>
        </w:rPr>
        <w:t xml:space="preserve">Et </w:t>
      </w:r>
    </w:p>
    <w:p w:rsidR="00D636D0" w:rsidRPr="00AA6974" w:rsidRDefault="00D636D0" w:rsidP="00D636D0">
      <w:pPr>
        <w:rPr>
          <w:rFonts w:ascii="Arial" w:hAnsi="Arial" w:cs="Arial"/>
          <w:sz w:val="22"/>
          <w:szCs w:val="22"/>
        </w:rPr>
      </w:pPr>
      <w:r w:rsidRPr="00AA6974">
        <w:rPr>
          <w:rFonts w:ascii="Arial" w:hAnsi="Arial" w:cs="Arial"/>
          <w:sz w:val="22"/>
          <w:szCs w:val="22"/>
        </w:rPr>
        <w:t xml:space="preserve">D’autre part, ………..nom et prénom du salarié, adresse …………, </w:t>
      </w:r>
    </w:p>
    <w:p w:rsidR="00D636D0" w:rsidRPr="00AA6974" w:rsidRDefault="00D636D0" w:rsidP="00D636D0">
      <w:pPr>
        <w:rPr>
          <w:rFonts w:ascii="Arial" w:hAnsi="Arial" w:cs="Arial"/>
          <w:sz w:val="22"/>
          <w:szCs w:val="22"/>
        </w:rPr>
      </w:pPr>
      <w:r w:rsidRPr="00AA6974">
        <w:rPr>
          <w:rFonts w:ascii="Arial" w:hAnsi="Arial" w:cs="Arial"/>
          <w:sz w:val="22"/>
          <w:szCs w:val="22"/>
        </w:rPr>
        <w:t>Catégorie dans la classification des emplois : ………………………….……………….</w:t>
      </w:r>
    </w:p>
    <w:p w:rsidR="00D636D0" w:rsidRPr="00AA6974" w:rsidRDefault="00D636D0" w:rsidP="00D636D0">
      <w:pPr>
        <w:rPr>
          <w:rFonts w:ascii="Arial" w:hAnsi="Arial" w:cs="Arial"/>
          <w:sz w:val="22"/>
          <w:szCs w:val="22"/>
        </w:rPr>
      </w:pPr>
      <w:r w:rsidRPr="00AA6974">
        <w:rPr>
          <w:rFonts w:ascii="Arial" w:hAnsi="Arial" w:cs="Arial"/>
          <w:sz w:val="22"/>
          <w:szCs w:val="22"/>
        </w:rPr>
        <w:t>Poste occupé : …………………………</w:t>
      </w:r>
    </w:p>
    <w:p w:rsidR="00D636D0" w:rsidRDefault="00D636D0" w:rsidP="00D636D0">
      <w:pPr>
        <w:rPr>
          <w:rFonts w:ascii="Arial" w:hAnsi="Arial" w:cs="Arial"/>
          <w:i/>
          <w:sz w:val="22"/>
          <w:szCs w:val="22"/>
        </w:rPr>
      </w:pPr>
    </w:p>
    <w:p w:rsidR="00D636D0" w:rsidRPr="00E738C0" w:rsidRDefault="00D636D0" w:rsidP="00D636D0">
      <w:pPr>
        <w:rPr>
          <w:rFonts w:ascii="Arial" w:hAnsi="Arial" w:cs="Arial"/>
          <w:i/>
          <w:sz w:val="22"/>
          <w:szCs w:val="22"/>
        </w:rPr>
      </w:pPr>
    </w:p>
    <w:p w:rsidR="00D636D0" w:rsidRPr="00E738C0" w:rsidRDefault="00D636D0" w:rsidP="00D636D0">
      <w:pPr>
        <w:rPr>
          <w:rFonts w:ascii="Arial" w:hAnsi="Arial" w:cs="Arial"/>
          <w:b/>
          <w:sz w:val="22"/>
          <w:szCs w:val="22"/>
        </w:rPr>
      </w:pPr>
      <w:r w:rsidRPr="00E738C0">
        <w:rPr>
          <w:rFonts w:ascii="Arial" w:hAnsi="Arial" w:cs="Arial"/>
          <w:b/>
          <w:sz w:val="22"/>
          <w:szCs w:val="22"/>
        </w:rPr>
        <w:t>Il est convenu ce qui suit :</w:t>
      </w:r>
    </w:p>
    <w:p w:rsidR="00D636D0" w:rsidRPr="00E738C0" w:rsidRDefault="00D636D0" w:rsidP="00D636D0">
      <w:pPr>
        <w:rPr>
          <w:rFonts w:ascii="Arial" w:hAnsi="Arial" w:cs="Arial"/>
          <w:sz w:val="22"/>
          <w:szCs w:val="22"/>
        </w:rPr>
      </w:pPr>
    </w:p>
    <w:p w:rsidR="00D636D0" w:rsidRPr="00E738C0" w:rsidRDefault="00D636D0" w:rsidP="00D636D0">
      <w:pPr>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 xml:space="preserve">1/ Aux termes des dispositions de l’accord de branche conclu le ……………, il est prévu, pour la catégorie dont vous relevez, et désignée dans l'accord susvisé par les termes ………, un calcul de la durée du travail selon un forfait annuel en jours. </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2/ Ce forfait est régi par les dispositions de l'article L.3121-43 et suivants du code du travail. Il s'adresse plus particulièrement aux collaborateurs qui, comme vous, disposent d'une réelle autonomie dans la gestion de leur emploi du temps.</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3/ Conformément aux dispositions conventionnelles précitées, votre durée annuelle de travail est fixée à ……. jours.</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Ce forfait correspond à une année civile ou une période de 12 mois</w:t>
      </w:r>
      <w:r>
        <w:rPr>
          <w:rFonts w:ascii="Arial" w:hAnsi="Arial" w:cs="Arial"/>
          <w:sz w:val="22"/>
          <w:szCs w:val="22"/>
        </w:rPr>
        <w:t xml:space="preserve">. </w:t>
      </w:r>
      <w:r w:rsidRPr="00E738C0">
        <w:rPr>
          <w:rFonts w:ascii="Arial" w:hAnsi="Arial" w:cs="Arial"/>
          <w:sz w:val="22"/>
          <w:szCs w:val="22"/>
        </w:rPr>
        <w:t>Il est calculé sur la base d'un droit intégral à congés payés.</w:t>
      </w:r>
    </w:p>
    <w:p w:rsidR="00D636D0" w:rsidRPr="00E738C0" w:rsidRDefault="00D636D0" w:rsidP="00D636D0">
      <w:pPr>
        <w:spacing w:line="276" w:lineRule="auto"/>
        <w:jc w:val="both"/>
        <w:rPr>
          <w:rFonts w:ascii="Arial" w:hAnsi="Arial" w:cs="Arial"/>
          <w:sz w:val="22"/>
          <w:szCs w:val="22"/>
        </w:rPr>
      </w:pPr>
    </w:p>
    <w:p w:rsidR="00D636D0" w:rsidRDefault="00D636D0" w:rsidP="00D636D0">
      <w:pPr>
        <w:spacing w:line="276" w:lineRule="auto"/>
        <w:jc w:val="both"/>
        <w:rPr>
          <w:rFonts w:ascii="Arial" w:hAnsi="Arial" w:cs="Arial"/>
          <w:sz w:val="22"/>
          <w:szCs w:val="22"/>
        </w:rPr>
      </w:pPr>
      <w:r w:rsidRPr="00E738C0">
        <w:rPr>
          <w:rFonts w:ascii="Arial" w:hAnsi="Arial" w:cs="Arial"/>
          <w:sz w:val="22"/>
          <w:szCs w:val="22"/>
        </w:rPr>
        <w:t>La période annuelle de référence est fixée conformément aux dispositions conventionnelles précitées. Celle-ci correspond soit à l’année civile, soit à une période de 12 mois</w:t>
      </w:r>
      <w:r>
        <w:rPr>
          <w:rFonts w:ascii="Arial" w:hAnsi="Arial" w:cs="Arial"/>
          <w:sz w:val="22"/>
          <w:szCs w:val="22"/>
        </w:rPr>
        <w:t xml:space="preserve"> allant du ……… au …………</w:t>
      </w:r>
    </w:p>
    <w:p w:rsidR="00D636D0" w:rsidRDefault="00D636D0" w:rsidP="00D636D0">
      <w:pPr>
        <w:spacing w:line="276" w:lineRule="auto"/>
        <w:jc w:val="both"/>
        <w:rPr>
          <w:rFonts w:ascii="Arial" w:hAnsi="Arial" w:cs="Arial"/>
          <w:sz w:val="22"/>
          <w:szCs w:val="22"/>
        </w:rPr>
      </w:pPr>
    </w:p>
    <w:p w:rsidR="00D636D0" w:rsidRPr="00150283" w:rsidRDefault="00D636D0" w:rsidP="00D636D0">
      <w:pPr>
        <w:jc w:val="both"/>
        <w:rPr>
          <w:rFonts w:ascii="Arial" w:hAnsi="Arial" w:cs="Arial"/>
          <w:sz w:val="22"/>
          <w:szCs w:val="22"/>
        </w:rPr>
      </w:pPr>
      <w:r w:rsidRPr="00150283">
        <w:rPr>
          <w:rFonts w:ascii="Arial" w:hAnsi="Arial" w:cs="Arial"/>
          <w:sz w:val="22"/>
          <w:szCs w:val="22"/>
        </w:rPr>
        <w:t>Le nombre de jours de repos est calculé selon la formule figurant en annexe d</w:t>
      </w:r>
      <w:r>
        <w:rPr>
          <w:rFonts w:ascii="Arial" w:hAnsi="Arial" w:cs="Arial"/>
          <w:sz w:val="22"/>
          <w:szCs w:val="22"/>
        </w:rPr>
        <w:t>e l’</w:t>
      </w:r>
      <w:r w:rsidRPr="00150283">
        <w:rPr>
          <w:rFonts w:ascii="Arial" w:hAnsi="Arial" w:cs="Arial"/>
          <w:sz w:val="22"/>
          <w:szCs w:val="22"/>
        </w:rPr>
        <w:t>accord</w:t>
      </w:r>
      <w:r>
        <w:rPr>
          <w:rFonts w:ascii="Arial" w:hAnsi="Arial" w:cs="Arial"/>
          <w:sz w:val="22"/>
          <w:szCs w:val="22"/>
        </w:rPr>
        <w:t xml:space="preserve"> collectif du ……. </w:t>
      </w:r>
      <w:r w:rsidRPr="00150283">
        <w:rPr>
          <w:rFonts w:ascii="Arial" w:hAnsi="Arial" w:cs="Arial"/>
          <w:sz w:val="22"/>
          <w:szCs w:val="22"/>
        </w:rPr>
        <w:t>.</w:t>
      </w:r>
      <w:r>
        <w:rPr>
          <w:rFonts w:ascii="Arial" w:hAnsi="Arial" w:cs="Arial"/>
          <w:sz w:val="22"/>
          <w:szCs w:val="22"/>
        </w:rPr>
        <w:t xml:space="preserve"> Il est déterminé chaque année ou pour chaque période d’un commun accord entre les parties.</w:t>
      </w:r>
    </w:p>
    <w:p w:rsidR="00D636D0" w:rsidRPr="00E738C0" w:rsidRDefault="00D636D0" w:rsidP="00D636D0">
      <w:pPr>
        <w:spacing w:line="276" w:lineRule="auto"/>
        <w:jc w:val="both"/>
        <w:rPr>
          <w:rFonts w:ascii="Arial" w:hAnsi="Arial" w:cs="Arial"/>
          <w:sz w:val="22"/>
          <w:szCs w:val="22"/>
        </w:rPr>
      </w:pPr>
    </w:p>
    <w:p w:rsidR="00D636D0" w:rsidRDefault="00D636D0" w:rsidP="00D636D0">
      <w:pPr>
        <w:spacing w:line="276" w:lineRule="auto"/>
        <w:jc w:val="both"/>
        <w:rPr>
          <w:rFonts w:ascii="Arial" w:hAnsi="Arial" w:cs="Arial"/>
          <w:sz w:val="22"/>
          <w:szCs w:val="22"/>
        </w:rPr>
      </w:pPr>
      <w:r w:rsidRPr="00E738C0">
        <w:rPr>
          <w:rFonts w:ascii="Arial" w:hAnsi="Arial" w:cs="Arial"/>
          <w:sz w:val="22"/>
          <w:szCs w:val="22"/>
        </w:rPr>
        <w:t>Les modalités d'application du présent forfait sont définies par l'accord collectif visé au 1</w:t>
      </w:r>
      <w:r w:rsidRPr="00E738C0">
        <w:rPr>
          <w:rFonts w:ascii="Arial" w:hAnsi="Arial" w:cs="Arial"/>
          <w:sz w:val="22"/>
          <w:szCs w:val="22"/>
          <w:vertAlign w:val="superscript"/>
        </w:rPr>
        <w:t>er</w:t>
      </w:r>
      <w:r w:rsidRPr="00E738C0">
        <w:rPr>
          <w:rFonts w:ascii="Arial" w:hAnsi="Arial" w:cs="Arial"/>
          <w:sz w:val="22"/>
          <w:szCs w:val="22"/>
        </w:rPr>
        <w:t xml:space="preserve"> alinéa de la présente convention dont vous reconnaissez avoir pris connaissance.</w:t>
      </w:r>
    </w:p>
    <w:p w:rsidR="00D636D0" w:rsidRPr="00E738C0" w:rsidRDefault="00D636D0" w:rsidP="00D636D0">
      <w:pPr>
        <w:spacing w:line="276" w:lineRule="auto"/>
        <w:jc w:val="both"/>
        <w:rPr>
          <w:rFonts w:ascii="Arial" w:hAnsi="Arial" w:cs="Arial"/>
          <w:sz w:val="22"/>
          <w:szCs w:val="22"/>
        </w:rPr>
      </w:pPr>
    </w:p>
    <w:p w:rsidR="00D636D0" w:rsidRDefault="00D636D0" w:rsidP="00D636D0">
      <w:pPr>
        <w:rPr>
          <w:rFonts w:ascii="Arial" w:hAnsi="Arial" w:cs="Arial"/>
          <w:sz w:val="22"/>
          <w:szCs w:val="22"/>
        </w:rPr>
      </w:pPr>
      <w:r>
        <w:rPr>
          <w:rFonts w:ascii="Arial" w:hAnsi="Arial" w:cs="Arial"/>
          <w:sz w:val="22"/>
          <w:szCs w:val="22"/>
        </w:rPr>
        <w:br w:type="page"/>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4/ En application de l'article L.3121-45 du code du travail et de l'article 6 de l'accord du …</w:t>
      </w:r>
      <w:r>
        <w:rPr>
          <w:rFonts w:ascii="Arial" w:hAnsi="Arial" w:cs="Arial"/>
          <w:sz w:val="22"/>
          <w:szCs w:val="22"/>
        </w:rPr>
        <w:t>….</w:t>
      </w:r>
      <w:r w:rsidRPr="00E738C0">
        <w:rPr>
          <w:rFonts w:ascii="Arial" w:hAnsi="Arial" w:cs="Arial"/>
          <w:sz w:val="22"/>
          <w:szCs w:val="22"/>
        </w:rPr>
        <w:t>…..…</w:t>
      </w:r>
      <w:r>
        <w:rPr>
          <w:rFonts w:ascii="Arial" w:hAnsi="Arial" w:cs="Arial"/>
          <w:sz w:val="22"/>
          <w:szCs w:val="22"/>
        </w:rPr>
        <w:t xml:space="preserve">, </w:t>
      </w:r>
      <w:r w:rsidRPr="00E738C0">
        <w:rPr>
          <w:rFonts w:ascii="Arial" w:hAnsi="Arial" w:cs="Arial"/>
          <w:sz w:val="22"/>
          <w:szCs w:val="22"/>
        </w:rPr>
        <w:t>vous pourrez, si vous le souhaitez et en accord avec votre hiérarchie, renoncer à tout ou partie de vos journées de repos et percevoir une indemnisation en contrepartie.</w:t>
      </w: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Le nombre de jours de repos pouvant donner lieu à ce rachat ne pourra dépasser …. jours par an.</w:t>
      </w: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Vous devrez formuler votre demande par écrit avant la fin de la période de référence à laquelle se rapportent les jours de repos concernés.</w:t>
      </w:r>
    </w:p>
    <w:p w:rsidR="00D636D0" w:rsidRPr="00E738C0" w:rsidRDefault="00D636D0" w:rsidP="00D636D0">
      <w:pPr>
        <w:spacing w:line="276" w:lineRule="auto"/>
        <w:jc w:val="both"/>
        <w:rPr>
          <w:rFonts w:ascii="Arial" w:hAnsi="Arial" w:cs="Arial"/>
          <w:sz w:val="22"/>
          <w:szCs w:val="22"/>
        </w:rPr>
      </w:pPr>
      <w:r>
        <w:rPr>
          <w:rFonts w:ascii="Arial" w:hAnsi="Arial" w:cs="Arial"/>
          <w:sz w:val="22"/>
          <w:szCs w:val="22"/>
        </w:rPr>
        <w:t>L’e</w:t>
      </w:r>
      <w:r w:rsidRPr="00E738C0">
        <w:rPr>
          <w:rFonts w:ascii="Arial" w:hAnsi="Arial" w:cs="Arial"/>
          <w:sz w:val="22"/>
          <w:szCs w:val="22"/>
        </w:rPr>
        <w:t>mployeur pourra s'opposer à ce rachat pour les raisons suivantes : ………. .</w:t>
      </w: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Vous pourrez revenir sur votre demande à condition de prévenir dans un délai de ………jours.</w:t>
      </w: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L'indemnisation de chaque jour de repos racheté sera égale à …..% du salaire journalier. Elle vous sera versée au plus tard le …… .</w:t>
      </w:r>
      <w:r>
        <w:rPr>
          <w:rFonts w:ascii="Arial" w:hAnsi="Arial" w:cs="Arial"/>
          <w:sz w:val="22"/>
          <w:szCs w:val="22"/>
        </w:rPr>
        <w:t xml:space="preserve"> </w:t>
      </w:r>
      <w:r w:rsidRPr="00E738C0">
        <w:rPr>
          <w:rFonts w:ascii="Arial" w:hAnsi="Arial" w:cs="Arial"/>
          <w:sz w:val="22"/>
          <w:szCs w:val="22"/>
        </w:rPr>
        <w:t>La rémunération journalière sera calculée comme suit : ………. .</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5/ Au cours de l'entretien que nous avons eu le …. , nous avons évalué ensemble le contour de votre mission et votre charge de travail.</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Sur la base de ce constat, nous avons convenu ensemble que votre mission</w:t>
      </w:r>
      <w:r>
        <w:rPr>
          <w:rFonts w:ascii="Arial" w:hAnsi="Arial" w:cs="Arial"/>
          <w:sz w:val="22"/>
          <w:szCs w:val="22"/>
        </w:rPr>
        <w:t xml:space="preserve"> qui</w:t>
      </w:r>
      <w:r w:rsidRPr="00E738C0">
        <w:rPr>
          <w:rFonts w:ascii="Arial" w:hAnsi="Arial" w:cs="Arial"/>
          <w:sz w:val="22"/>
          <w:szCs w:val="22"/>
        </w:rPr>
        <w:t xml:space="preserve"> consistera en ………………..….. . </w:t>
      </w:r>
      <w:r>
        <w:rPr>
          <w:rFonts w:ascii="Arial" w:hAnsi="Arial" w:cs="Arial"/>
          <w:sz w:val="22"/>
          <w:szCs w:val="22"/>
        </w:rPr>
        <w:t xml:space="preserve"> sera accomplie</w:t>
      </w:r>
      <w:r w:rsidRPr="00E738C0">
        <w:rPr>
          <w:rFonts w:ascii="Arial" w:hAnsi="Arial" w:cs="Arial"/>
          <w:sz w:val="22"/>
          <w:szCs w:val="22"/>
        </w:rPr>
        <w:t xml:space="preserve"> dans le cadre du forfait annuel de ……. jours. En cas de difficulté, une discussion aura lieu avec votre hiérarchie.</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6/ Pour mener à bonne fin cette mission, vous serez libre de vous organiser comme vous l'entendez tout en respectant les règles concourant au bon fonctionnement du service dont vous relevez.</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Pr>
          <w:rFonts w:ascii="Arial" w:hAnsi="Arial" w:cs="Arial"/>
          <w:sz w:val="22"/>
          <w:szCs w:val="22"/>
        </w:rPr>
        <w:t xml:space="preserve"> Nous vous rappelons que vous</w:t>
      </w:r>
      <w:r w:rsidRPr="00E738C0">
        <w:rPr>
          <w:rFonts w:ascii="Arial" w:hAnsi="Arial" w:cs="Arial"/>
          <w:sz w:val="22"/>
          <w:szCs w:val="22"/>
        </w:rPr>
        <w:t xml:space="preserve"> </w:t>
      </w:r>
      <w:r>
        <w:rPr>
          <w:rFonts w:ascii="Arial" w:hAnsi="Arial" w:cs="Arial"/>
          <w:sz w:val="22"/>
          <w:szCs w:val="22"/>
        </w:rPr>
        <w:t xml:space="preserve">devez </w:t>
      </w:r>
      <w:r w:rsidRPr="00E738C0">
        <w:rPr>
          <w:rFonts w:ascii="Arial" w:hAnsi="Arial" w:cs="Arial"/>
          <w:sz w:val="22"/>
          <w:szCs w:val="22"/>
        </w:rPr>
        <w:t xml:space="preserve"> respecter, en toutes circonstances, le repos minimal quotidien de 11 heures consécutives et le repos hebdomadaire</w:t>
      </w:r>
      <w:r>
        <w:rPr>
          <w:rFonts w:ascii="Arial" w:hAnsi="Arial" w:cs="Arial"/>
          <w:sz w:val="22"/>
          <w:szCs w:val="22"/>
        </w:rPr>
        <w:t xml:space="preserve"> de 24 heures</w:t>
      </w:r>
      <w:r w:rsidRPr="00E738C0">
        <w:rPr>
          <w:rFonts w:ascii="Arial" w:hAnsi="Arial" w:cs="Arial"/>
          <w:sz w:val="22"/>
          <w:szCs w:val="22"/>
        </w:rPr>
        <w:t>.</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Vous vous engagez également à enregistrer tous les mois selon le formulaire mis à votre disposition les jours correspondant aux jours travaillés et non travaillés (repos hebdomadaire, congés, jours fériés et jours de repos).</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 xml:space="preserve">7/ Votre rémunération annuelle est de …………. € et correspond à ……. jours travaillés par an. </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r w:rsidRPr="00E738C0">
        <w:rPr>
          <w:rFonts w:ascii="Arial" w:hAnsi="Arial" w:cs="Arial"/>
          <w:sz w:val="22"/>
          <w:szCs w:val="22"/>
        </w:rPr>
        <w:t xml:space="preserve">Vous voudrez bien nous retourner un exemplaire de la présente </w:t>
      </w:r>
      <w:r>
        <w:rPr>
          <w:rFonts w:ascii="Arial" w:hAnsi="Arial" w:cs="Arial"/>
          <w:sz w:val="22"/>
          <w:szCs w:val="22"/>
        </w:rPr>
        <w:t>convention</w:t>
      </w:r>
      <w:r w:rsidRPr="00E738C0">
        <w:rPr>
          <w:rFonts w:ascii="Arial" w:hAnsi="Arial" w:cs="Arial"/>
          <w:sz w:val="22"/>
          <w:szCs w:val="22"/>
        </w:rPr>
        <w:t>, revêtue de votre signature précédée de la mention manuscrite « Bon pour accord ».</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rPr>
          <w:rFonts w:ascii="Arial" w:hAnsi="Arial" w:cs="Arial"/>
          <w:sz w:val="22"/>
          <w:szCs w:val="22"/>
        </w:rPr>
      </w:pPr>
      <w:r w:rsidRPr="00E738C0">
        <w:rPr>
          <w:rFonts w:ascii="Arial" w:hAnsi="Arial" w:cs="Arial"/>
          <w:sz w:val="22"/>
          <w:szCs w:val="22"/>
        </w:rPr>
        <w:t>Fait à …………………..…………… le …………………………….</w:t>
      </w:r>
    </w:p>
    <w:p w:rsidR="00D636D0" w:rsidRPr="00E738C0" w:rsidRDefault="00D636D0" w:rsidP="00D636D0">
      <w:pPr>
        <w:spacing w:line="276" w:lineRule="auto"/>
        <w:jc w:val="both"/>
        <w:rPr>
          <w:rFonts w:ascii="Arial" w:hAnsi="Arial" w:cs="Arial"/>
          <w:sz w:val="22"/>
          <w:szCs w:val="22"/>
        </w:rPr>
      </w:pPr>
    </w:p>
    <w:p w:rsidR="00D636D0" w:rsidRPr="00E738C0" w:rsidRDefault="00D636D0" w:rsidP="00D636D0">
      <w:pPr>
        <w:spacing w:line="276" w:lineRule="auto"/>
        <w:jc w:val="both"/>
        <w:rPr>
          <w:rFonts w:ascii="Arial" w:hAnsi="Arial" w:cs="Arial"/>
          <w:sz w:val="22"/>
          <w:szCs w:val="22"/>
        </w:rPr>
      </w:pPr>
    </w:p>
    <w:p w:rsidR="00D636D0" w:rsidRPr="00C600B7" w:rsidRDefault="00D636D0" w:rsidP="00D636D0">
      <w:pPr>
        <w:spacing w:line="276" w:lineRule="auto"/>
        <w:jc w:val="center"/>
        <w:rPr>
          <w:rFonts w:ascii="Arial" w:hAnsi="Arial" w:cs="Arial"/>
          <w:sz w:val="22"/>
          <w:szCs w:val="22"/>
        </w:rPr>
      </w:pPr>
      <w:r w:rsidRPr="00E738C0">
        <w:rPr>
          <w:rFonts w:ascii="Arial" w:hAnsi="Arial" w:cs="Arial"/>
          <w:sz w:val="22"/>
          <w:szCs w:val="22"/>
        </w:rPr>
        <w:t>L’employeur                                                       Le salarié</w:t>
      </w:r>
    </w:p>
    <w:p w:rsidR="00D636D0" w:rsidRPr="00C600B7" w:rsidRDefault="00D636D0" w:rsidP="00D636D0">
      <w:pPr>
        <w:jc w:val="both"/>
        <w:rPr>
          <w:rFonts w:ascii="Arial" w:hAnsi="Arial" w:cs="Arial"/>
          <w:sz w:val="22"/>
          <w:szCs w:val="22"/>
        </w:rPr>
      </w:pPr>
    </w:p>
    <w:sectPr w:rsidR="00D636D0" w:rsidRPr="00C600B7" w:rsidSect="00A317B9">
      <w:headerReference w:type="even" r:id="rId8"/>
      <w:headerReference w:type="default" r:id="rId9"/>
      <w:footerReference w:type="even" r:id="rId10"/>
      <w:footerReference w:type="default" r:id="rId11"/>
      <w:headerReference w:type="first" r:id="rId12"/>
      <w:footerReference w:type="first" r:id="rId13"/>
      <w:pgSz w:w="11900" w:h="16840"/>
      <w:pgMar w:top="709" w:right="567" w:bottom="1843" w:left="2835" w:header="0" w:footer="0"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0D08" w:rsidRDefault="00F70D08">
      <w:r>
        <w:separator/>
      </w:r>
    </w:p>
  </w:endnote>
  <w:endnote w:type="continuationSeparator" w:id="0">
    <w:p w:rsidR="00F70D08" w:rsidRDefault="00F70D0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Bold">
    <w:panose1 w:val="020F0702030404030204"/>
    <w:charset w:val="00"/>
    <w:family w:val="auto"/>
    <w:pitch w:val="variable"/>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14B" w:rsidRDefault="006C214B">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7665CA" w:rsidP="00A511DE">
    <w:pPr>
      <w:pStyle w:val="Pieddepage"/>
      <w:tabs>
        <w:tab w:val="clear" w:pos="9072"/>
        <w:tab w:val="right" w:pos="10490"/>
      </w:tabs>
      <w:ind w:left="-2835"/>
    </w:pPr>
    <w:r>
      <w:rPr>
        <w:noProof/>
      </w:rPr>
      <w:pict>
        <v:shapetype id="_x0000_t202" coordsize="21600,21600" o:spt="202" path="m,l,21600r21600,l21600,xe">
          <v:stroke joinstyle="miter"/>
          <v:path gradientshapeok="t" o:connecttype="rect"/>
        </v:shapetype>
        <v:shape id="_x0000_s2091" type="#_x0000_t202" style="position:absolute;left:0;text-align:left;margin-left:354.1pt;margin-top:-32.1pt;width:92.1pt;height:33.65pt;z-index:251660800" filled="f" stroked="f">
          <v:textbox style="mso-next-textbox:#_x0000_s2091">
            <w:txbxContent>
              <w:tbl>
                <w:tblPr>
                  <w:tblW w:w="0" w:type="auto"/>
                  <w:tblInd w:w="-114" w:type="dxa"/>
                  <w:tblLayout w:type="fixed"/>
                  <w:tblCellMar>
                    <w:left w:w="85" w:type="dxa"/>
                    <w:right w:w="57" w:type="dxa"/>
                  </w:tblCellMar>
                  <w:tblLook w:val="04A0"/>
                </w:tblPr>
                <w:tblGrid>
                  <w:gridCol w:w="1426"/>
                  <w:gridCol w:w="305"/>
                </w:tblGrid>
                <w:tr w:rsidR="007665CA" w:rsidTr="007665CA">
                  <w:tc>
                    <w:tcPr>
                      <w:tcW w:w="1426" w:type="dxa"/>
                      <w:tcBorders>
                        <w:right w:val="single" w:sz="4" w:space="0" w:color="7F7F7F"/>
                      </w:tcBorders>
                      <w:shd w:val="clear" w:color="auto" w:fill="auto"/>
                    </w:tcPr>
                    <w:p w:rsidR="007665CA" w:rsidRPr="007665CA" w:rsidRDefault="007665CA" w:rsidP="006C214B">
                      <w:pPr>
                        <w:jc w:val="right"/>
                        <w:rPr>
                          <w:rFonts w:ascii="Calibri" w:hAnsi="Calibri" w:cs="Calibri"/>
                          <w:color w:val="7F7F7F"/>
                          <w:sz w:val="16"/>
                          <w:szCs w:val="16"/>
                        </w:rPr>
                      </w:pPr>
                      <w:r w:rsidRPr="007665CA">
                        <w:rPr>
                          <w:rFonts w:ascii="Calibri" w:hAnsi="Calibri" w:cs="Calibri"/>
                          <w:color w:val="7F7F7F"/>
                          <w:sz w:val="16"/>
                          <w:szCs w:val="16"/>
                        </w:rPr>
                        <w:t>2</w:t>
                      </w:r>
                      <w:r w:rsidR="006C214B">
                        <w:rPr>
                          <w:rFonts w:ascii="Calibri" w:hAnsi="Calibri" w:cs="Calibri"/>
                          <w:color w:val="7F7F7F"/>
                          <w:sz w:val="16"/>
                          <w:szCs w:val="16"/>
                        </w:rPr>
                        <w:t>6/</w:t>
                      </w:r>
                      <w:r w:rsidR="00316B48">
                        <w:rPr>
                          <w:rFonts w:ascii="Calibri" w:hAnsi="Calibri" w:cs="Calibri"/>
                          <w:color w:val="7F7F7F"/>
                          <w:sz w:val="16"/>
                          <w:szCs w:val="16"/>
                        </w:rPr>
                        <w:t>0</w:t>
                      </w:r>
                      <w:r w:rsidR="006C214B">
                        <w:rPr>
                          <w:rFonts w:ascii="Calibri" w:hAnsi="Calibri" w:cs="Calibri"/>
                          <w:color w:val="7F7F7F"/>
                          <w:sz w:val="16"/>
                          <w:szCs w:val="16"/>
                        </w:rPr>
                        <w:t>7/2013</w:t>
                      </w:r>
                    </w:p>
                  </w:tc>
                  <w:tc>
                    <w:tcPr>
                      <w:tcW w:w="305" w:type="dxa"/>
                      <w:tcBorders>
                        <w:left w:val="single" w:sz="4" w:space="0" w:color="7F7F7F"/>
                      </w:tcBorders>
                      <w:shd w:val="clear" w:color="auto" w:fill="auto"/>
                    </w:tcPr>
                    <w:p w:rsidR="007665CA" w:rsidRPr="007665CA" w:rsidRDefault="007665CA">
                      <w:pPr>
                        <w:rPr>
                          <w:rFonts w:ascii="Calibri" w:hAnsi="Calibri" w:cs="Calibri"/>
                          <w:color w:val="7F7F7F"/>
                          <w:sz w:val="16"/>
                          <w:szCs w:val="16"/>
                        </w:rPr>
                      </w:pPr>
                    </w:p>
                  </w:tc>
                </w:tr>
                <w:tr w:rsidR="007665CA" w:rsidTr="007665CA">
                  <w:tc>
                    <w:tcPr>
                      <w:tcW w:w="1426" w:type="dxa"/>
                      <w:tcBorders>
                        <w:right w:val="single" w:sz="4" w:space="0" w:color="7F7F7F"/>
                      </w:tcBorders>
                      <w:shd w:val="clear" w:color="auto" w:fill="auto"/>
                    </w:tcPr>
                    <w:p w:rsidR="007665CA" w:rsidRPr="007665CA" w:rsidRDefault="007665CA" w:rsidP="006C214B">
                      <w:pPr>
                        <w:jc w:val="right"/>
                        <w:rPr>
                          <w:rFonts w:ascii="Calibri" w:hAnsi="Calibri" w:cs="Calibri"/>
                          <w:color w:val="7F7F7F"/>
                          <w:sz w:val="16"/>
                          <w:szCs w:val="16"/>
                        </w:rPr>
                      </w:pPr>
                      <w:r w:rsidRPr="007665CA">
                        <w:rPr>
                          <w:rFonts w:ascii="Calibri" w:hAnsi="Calibri" w:cs="Calibri"/>
                          <w:color w:val="7F7F7F"/>
                          <w:sz w:val="16"/>
                          <w:szCs w:val="16"/>
                        </w:rPr>
                        <w:t xml:space="preserve">N/Réf : </w:t>
                      </w:r>
                      <w:r w:rsidR="006C214B">
                        <w:rPr>
                          <w:rFonts w:ascii="Calibri" w:hAnsi="Calibri" w:cs="Calibri"/>
                          <w:color w:val="7F7F7F"/>
                          <w:sz w:val="16"/>
                          <w:szCs w:val="16"/>
                        </w:rPr>
                        <w:t>LS194-13</w:t>
                      </w:r>
                    </w:p>
                  </w:tc>
                  <w:tc>
                    <w:tcPr>
                      <w:tcW w:w="305" w:type="dxa"/>
                      <w:tcBorders>
                        <w:left w:val="single" w:sz="4" w:space="0" w:color="7F7F7F"/>
                      </w:tcBorders>
                      <w:shd w:val="clear" w:color="auto" w:fill="auto"/>
                    </w:tcPr>
                    <w:p w:rsidR="007665CA" w:rsidRPr="00AE3075" w:rsidRDefault="007665CA">
                      <w:pPr>
                        <w:rPr>
                          <w:sz w:val="18"/>
                          <w:szCs w:val="18"/>
                        </w:rPr>
                      </w:pPr>
                      <w:r w:rsidRPr="007665CA">
                        <w:rPr>
                          <w:rFonts w:ascii="Calibri" w:hAnsi="Calibri" w:cs="Calibri"/>
                          <w:color w:val="7F7F7F"/>
                          <w:sz w:val="16"/>
                          <w:szCs w:val="16"/>
                        </w:rPr>
                        <w:fldChar w:fldCharType="begin"/>
                      </w:r>
                      <w:r w:rsidRPr="007665CA">
                        <w:rPr>
                          <w:rFonts w:ascii="Calibri" w:hAnsi="Calibri" w:cs="Calibri"/>
                          <w:color w:val="7F7F7F"/>
                          <w:sz w:val="16"/>
                          <w:szCs w:val="16"/>
                        </w:rPr>
                        <w:instrText>PAGE   \* MERGEFORMAT</w:instrText>
                      </w:r>
                      <w:r w:rsidRPr="007665CA">
                        <w:rPr>
                          <w:rFonts w:ascii="Calibri" w:hAnsi="Calibri" w:cs="Calibri"/>
                          <w:color w:val="7F7F7F"/>
                          <w:sz w:val="16"/>
                          <w:szCs w:val="16"/>
                        </w:rPr>
                        <w:fldChar w:fldCharType="separate"/>
                      </w:r>
                      <w:r w:rsidR="00A51026">
                        <w:rPr>
                          <w:rFonts w:ascii="Calibri" w:hAnsi="Calibri" w:cs="Calibri"/>
                          <w:noProof/>
                          <w:color w:val="7F7F7F"/>
                          <w:sz w:val="16"/>
                          <w:szCs w:val="16"/>
                        </w:rPr>
                        <w:t>2</w:t>
                      </w:r>
                      <w:r w:rsidRPr="007665CA">
                        <w:rPr>
                          <w:rFonts w:ascii="Calibri" w:hAnsi="Calibri" w:cs="Calibri"/>
                          <w:color w:val="7F7F7F"/>
                          <w:sz w:val="16"/>
                          <w:szCs w:val="16"/>
                        </w:rPr>
                        <w:fldChar w:fldCharType="end"/>
                      </w:r>
                    </w:p>
                  </w:tc>
                </w:tr>
              </w:tbl>
              <w:p w:rsidR="007665CA" w:rsidRDefault="007665CA" w:rsidP="007665CA"/>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41" w:rsidRDefault="004A2A20" w:rsidP="006A601E">
    <w:pPr>
      <w:pStyle w:val="Pieddepage"/>
      <w:ind w:left="-2835"/>
    </w:pPr>
    <w:r>
      <w:rPr>
        <w:noProof/>
      </w:rPr>
      <w:pict>
        <v:shapetype id="_x0000_t202" coordsize="21600,21600" o:spt="202" path="m,l,21600r21600,l21600,xe">
          <v:stroke joinstyle="miter"/>
          <v:path gradientshapeok="t" o:connecttype="rect"/>
        </v:shapetype>
        <v:shape id="_x0000_s2087" type="#_x0000_t202" style="position:absolute;left:0;text-align:left;margin-left:361.8pt;margin-top:-33.15pt;width:92.1pt;height:33.65pt;z-index:251659776" filled="f" stroked="f">
          <v:textbox style="mso-next-textbox:#_x0000_s2087">
            <w:txbxContent>
              <w:tbl>
                <w:tblPr>
                  <w:tblW w:w="0" w:type="auto"/>
                  <w:tblInd w:w="-114" w:type="dxa"/>
                  <w:tblLayout w:type="fixed"/>
                  <w:tblCellMar>
                    <w:left w:w="85" w:type="dxa"/>
                    <w:right w:w="57" w:type="dxa"/>
                  </w:tblCellMar>
                  <w:tblLook w:val="04A0"/>
                </w:tblPr>
                <w:tblGrid>
                  <w:gridCol w:w="1426"/>
                  <w:gridCol w:w="305"/>
                </w:tblGrid>
                <w:tr w:rsidR="007665CA" w:rsidTr="00477F7F">
                  <w:tc>
                    <w:tcPr>
                      <w:tcW w:w="1426" w:type="dxa"/>
                      <w:tcBorders>
                        <w:right w:val="single" w:sz="4" w:space="0" w:color="7F7F7F"/>
                      </w:tcBorders>
                      <w:shd w:val="clear" w:color="auto" w:fill="auto"/>
                    </w:tcPr>
                    <w:p w:rsidR="007665CA" w:rsidRPr="00477F7F" w:rsidRDefault="006C214B" w:rsidP="008179F5">
                      <w:pPr>
                        <w:jc w:val="right"/>
                        <w:rPr>
                          <w:rFonts w:ascii="Calibri" w:hAnsi="Calibri" w:cs="Calibri"/>
                          <w:color w:val="7F7F7F"/>
                          <w:sz w:val="16"/>
                          <w:szCs w:val="16"/>
                        </w:rPr>
                      </w:pPr>
                      <w:r>
                        <w:rPr>
                          <w:rFonts w:ascii="Calibri" w:hAnsi="Calibri" w:cs="Calibri"/>
                          <w:color w:val="7F7F7F"/>
                          <w:sz w:val="16"/>
                          <w:szCs w:val="16"/>
                        </w:rPr>
                        <w:t>26</w:t>
                      </w:r>
                      <w:r w:rsidR="00F65E99">
                        <w:rPr>
                          <w:rFonts w:ascii="Calibri" w:hAnsi="Calibri" w:cs="Calibri"/>
                          <w:color w:val="7F7F7F"/>
                          <w:sz w:val="16"/>
                          <w:szCs w:val="16"/>
                        </w:rPr>
                        <w:t>/07</w:t>
                      </w:r>
                      <w:r w:rsidR="00C35320">
                        <w:rPr>
                          <w:rFonts w:ascii="Calibri" w:hAnsi="Calibri" w:cs="Calibri"/>
                          <w:color w:val="7F7F7F"/>
                          <w:sz w:val="16"/>
                          <w:szCs w:val="16"/>
                        </w:rPr>
                        <w:t>/2013</w:t>
                      </w:r>
                    </w:p>
                  </w:tc>
                  <w:tc>
                    <w:tcPr>
                      <w:tcW w:w="305" w:type="dxa"/>
                      <w:tcBorders>
                        <w:left w:val="single" w:sz="4" w:space="0" w:color="7F7F7F"/>
                      </w:tcBorders>
                      <w:shd w:val="clear" w:color="auto" w:fill="auto"/>
                    </w:tcPr>
                    <w:p w:rsidR="007665CA" w:rsidRPr="00477F7F" w:rsidRDefault="007665CA">
                      <w:pPr>
                        <w:rPr>
                          <w:rFonts w:ascii="Calibri" w:hAnsi="Calibri" w:cs="Calibri"/>
                          <w:color w:val="7F7F7F"/>
                          <w:sz w:val="16"/>
                          <w:szCs w:val="16"/>
                        </w:rPr>
                      </w:pPr>
                    </w:p>
                  </w:tc>
                </w:tr>
                <w:tr w:rsidR="008179F5" w:rsidTr="00477F7F">
                  <w:tc>
                    <w:tcPr>
                      <w:tcW w:w="1426" w:type="dxa"/>
                      <w:tcBorders>
                        <w:right w:val="single" w:sz="4" w:space="0" w:color="7F7F7F"/>
                      </w:tcBorders>
                      <w:shd w:val="clear" w:color="auto" w:fill="auto"/>
                    </w:tcPr>
                    <w:p w:rsidR="00AE3075" w:rsidRPr="00477F7F" w:rsidRDefault="008179F5" w:rsidP="00BE3E58">
                      <w:pPr>
                        <w:jc w:val="right"/>
                        <w:rPr>
                          <w:rFonts w:ascii="Calibri" w:hAnsi="Calibri" w:cs="Calibri"/>
                          <w:color w:val="7F7F7F"/>
                          <w:sz w:val="16"/>
                          <w:szCs w:val="16"/>
                        </w:rPr>
                      </w:pPr>
                      <w:r w:rsidRPr="00477F7F">
                        <w:rPr>
                          <w:rFonts w:ascii="Calibri" w:hAnsi="Calibri" w:cs="Calibri"/>
                          <w:color w:val="7F7F7F"/>
                          <w:sz w:val="16"/>
                          <w:szCs w:val="16"/>
                        </w:rPr>
                        <w:t>N/Réf :</w:t>
                      </w:r>
                      <w:r w:rsidR="00E91F77">
                        <w:rPr>
                          <w:rFonts w:ascii="Calibri" w:hAnsi="Calibri" w:cs="Calibri"/>
                          <w:color w:val="7F7F7F"/>
                          <w:sz w:val="16"/>
                          <w:szCs w:val="16"/>
                        </w:rPr>
                        <w:t xml:space="preserve"> </w:t>
                      </w:r>
                      <w:r w:rsidR="00BE3E58">
                        <w:rPr>
                          <w:rFonts w:ascii="Calibri" w:hAnsi="Calibri" w:cs="Calibri"/>
                          <w:color w:val="7F7F7F"/>
                          <w:sz w:val="16"/>
                          <w:szCs w:val="16"/>
                        </w:rPr>
                        <w:t>LS</w:t>
                      </w:r>
                      <w:r w:rsidR="006C214B">
                        <w:rPr>
                          <w:rFonts w:ascii="Calibri" w:hAnsi="Calibri" w:cs="Calibri"/>
                          <w:color w:val="7F7F7F"/>
                          <w:sz w:val="16"/>
                          <w:szCs w:val="16"/>
                        </w:rPr>
                        <w:t>194-13</w:t>
                      </w:r>
                      <w:r w:rsidR="00C35320">
                        <w:rPr>
                          <w:rFonts w:ascii="Calibri" w:hAnsi="Calibri" w:cs="Calibri"/>
                          <w:color w:val="7F7F7F"/>
                          <w:sz w:val="16"/>
                          <w:szCs w:val="16"/>
                        </w:rPr>
                        <w:t xml:space="preserve"> </w:t>
                      </w:r>
                    </w:p>
                  </w:tc>
                  <w:tc>
                    <w:tcPr>
                      <w:tcW w:w="305" w:type="dxa"/>
                      <w:tcBorders>
                        <w:left w:val="single" w:sz="4" w:space="0" w:color="7F7F7F"/>
                      </w:tcBorders>
                      <w:shd w:val="clear" w:color="auto" w:fill="auto"/>
                    </w:tcPr>
                    <w:p w:rsidR="00AE3075" w:rsidRPr="00AE3075" w:rsidRDefault="00AE3075">
                      <w:pPr>
                        <w:rPr>
                          <w:sz w:val="18"/>
                          <w:szCs w:val="18"/>
                        </w:rPr>
                      </w:pPr>
                      <w:r w:rsidRPr="00477F7F">
                        <w:rPr>
                          <w:rFonts w:ascii="Calibri" w:hAnsi="Calibri" w:cs="Calibri"/>
                          <w:color w:val="7F7F7F"/>
                          <w:sz w:val="16"/>
                          <w:szCs w:val="16"/>
                        </w:rPr>
                        <w:fldChar w:fldCharType="begin"/>
                      </w:r>
                      <w:r w:rsidRPr="00477F7F">
                        <w:rPr>
                          <w:rFonts w:ascii="Calibri" w:hAnsi="Calibri" w:cs="Calibri"/>
                          <w:color w:val="7F7F7F"/>
                          <w:sz w:val="16"/>
                          <w:szCs w:val="16"/>
                        </w:rPr>
                        <w:instrText>PAGE   \* MERGEFORMAT</w:instrText>
                      </w:r>
                      <w:r w:rsidRPr="00477F7F">
                        <w:rPr>
                          <w:rFonts w:ascii="Calibri" w:hAnsi="Calibri" w:cs="Calibri"/>
                          <w:color w:val="7F7F7F"/>
                          <w:sz w:val="16"/>
                          <w:szCs w:val="16"/>
                        </w:rPr>
                        <w:fldChar w:fldCharType="separate"/>
                      </w:r>
                      <w:r w:rsidR="00A51026">
                        <w:rPr>
                          <w:rFonts w:ascii="Calibri" w:hAnsi="Calibri" w:cs="Calibri"/>
                          <w:noProof/>
                          <w:color w:val="7F7F7F"/>
                          <w:sz w:val="16"/>
                          <w:szCs w:val="16"/>
                        </w:rPr>
                        <w:t>1</w:t>
                      </w:r>
                      <w:r w:rsidRPr="00477F7F">
                        <w:rPr>
                          <w:rFonts w:ascii="Calibri" w:hAnsi="Calibri" w:cs="Calibri"/>
                          <w:color w:val="7F7F7F"/>
                          <w:sz w:val="16"/>
                          <w:szCs w:val="16"/>
                        </w:rPr>
                        <w:fldChar w:fldCharType="end"/>
                      </w:r>
                    </w:p>
                  </w:tc>
                </w:tr>
              </w:tbl>
              <w:p w:rsidR="00AE3075" w:rsidRDefault="00AE3075"/>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0D08" w:rsidRDefault="00F70D08">
      <w:r>
        <w:separator/>
      </w:r>
    </w:p>
  </w:footnote>
  <w:footnote w:type="continuationSeparator" w:id="0">
    <w:p w:rsidR="00F70D08" w:rsidRDefault="00F70D08">
      <w:r>
        <w:continuationSeparator/>
      </w:r>
    </w:p>
  </w:footnote>
  <w:footnote w:id="1">
    <w:p w:rsidR="006B4CB3" w:rsidRDefault="006B4CB3" w:rsidP="006B4CB3">
      <w:pPr>
        <w:pStyle w:val="Notedebasdepage"/>
      </w:pPr>
      <w:r w:rsidRPr="00D02416">
        <w:rPr>
          <w:rStyle w:val="Appelnotedebasdep"/>
          <w:sz w:val="18"/>
        </w:rPr>
        <w:footnoteRef/>
      </w:r>
      <w:r w:rsidRPr="00D02416">
        <w:rPr>
          <w:sz w:val="18"/>
        </w:rPr>
        <w:t xml:space="preserve"> Article 9 de l’accord du 11 juillet 2013</w:t>
      </w:r>
    </w:p>
  </w:footnote>
  <w:footnote w:id="2">
    <w:p w:rsidR="003B6B98" w:rsidRDefault="003B6B98">
      <w:pPr>
        <w:pStyle w:val="Notedebasdepage"/>
      </w:pPr>
      <w:r w:rsidRPr="003B6B98">
        <w:rPr>
          <w:rStyle w:val="Appelnotedebasdep"/>
          <w:sz w:val="18"/>
        </w:rPr>
        <w:footnoteRef/>
      </w:r>
      <w:r w:rsidRPr="003B6B98">
        <w:rPr>
          <w:sz w:val="18"/>
        </w:rPr>
        <w:t xml:space="preserve"> Article 2 de l’accord du 11 juillet 2013</w:t>
      </w:r>
    </w:p>
  </w:footnote>
  <w:footnote w:id="3">
    <w:p w:rsidR="0087383D" w:rsidRDefault="0087383D">
      <w:pPr>
        <w:pStyle w:val="Notedebasdepage"/>
      </w:pPr>
      <w:r>
        <w:rPr>
          <w:rStyle w:val="Appelnotedebasdep"/>
        </w:rPr>
        <w:footnoteRef/>
      </w:r>
      <w:r>
        <w:t xml:space="preserve"> </w:t>
      </w:r>
      <w:r w:rsidRPr="0087383D">
        <w:rPr>
          <w:i/>
          <w:sz w:val="18"/>
        </w:rPr>
        <w:t>Circ. DGT n°20 du 13 novembre 2008, fiche n°14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FD5EE7">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A51026" w:rsidP="00A511DE">
    <w:pPr>
      <w:pStyle w:val="En-tte"/>
      <w:tabs>
        <w:tab w:val="clear" w:pos="9072"/>
      </w:tabs>
      <w:ind w:left="-2835"/>
    </w:pPr>
    <w:r>
      <w:rPr>
        <w:noProof/>
      </w:rPr>
      <w:drawing>
        <wp:anchor distT="0" distB="0" distL="114300" distR="114300" simplePos="0" relativeHeight="251658752" behindDoc="1" locked="0" layoutInCell="1" allowOverlap="1">
          <wp:simplePos x="0" y="0"/>
          <wp:positionH relativeFrom="column">
            <wp:posOffset>-1871980</wp:posOffset>
          </wp:positionH>
          <wp:positionV relativeFrom="paragraph">
            <wp:posOffset>5273040</wp:posOffset>
          </wp:positionV>
          <wp:extent cx="7576185" cy="5426710"/>
          <wp:effectExtent l="19050" t="0" r="5715" b="0"/>
          <wp:wrapNone/>
          <wp:docPr id="38" name="Image 38" descr="trame sans adr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rame sans adresse"/>
                  <pic:cNvPicPr>
                    <a:picLocks noChangeAspect="1" noChangeArrowheads="1"/>
                  </pic:cNvPicPr>
                </pic:nvPicPr>
                <pic:blipFill>
                  <a:blip r:embed="rId1"/>
                  <a:srcRect/>
                  <a:stretch>
                    <a:fillRect/>
                  </a:stretch>
                </pic:blipFill>
                <pic:spPr bwMode="auto">
                  <a:xfrm>
                    <a:off x="0" y="0"/>
                    <a:ext cx="7576185" cy="5426710"/>
                  </a:xfrm>
                  <a:prstGeom prst="rect">
                    <a:avLst/>
                  </a:prstGeom>
                  <a:noFill/>
                  <a:ln w="9525">
                    <a:noFill/>
                    <a:miter lim="800000"/>
                    <a:headEnd/>
                    <a:tailEnd/>
                  </a:ln>
                </pic:spPr>
              </pic:pic>
            </a:graphicData>
          </a:graphic>
        </wp:anchor>
      </w:drawing>
    </w:r>
    <w:r w:rsidR="00A511DE">
      <w:rPr>
        <w:noProof/>
      </w:rPr>
      <w:pict>
        <v:line id="_x0000_s2075" style="position:absolute;left:0;text-align:left;z-index:251656704;mso-position-horizontal-relative:text;mso-position-vertical-relative:text" from="-15.9pt,.45pt" to="-15.9pt,737.45pt" strokecolor="#de6422" strokeweight=".5pt"/>
      </w:pict>
    </w:r>
    <w:r>
      <w:rPr>
        <w:noProof/>
      </w:rPr>
      <w:drawing>
        <wp:anchor distT="0" distB="0" distL="114300" distR="114300" simplePos="0" relativeHeight="251654656" behindDoc="1" locked="0" layoutInCell="1" allowOverlap="1">
          <wp:simplePos x="0" y="0"/>
          <wp:positionH relativeFrom="column">
            <wp:posOffset>-1803400</wp:posOffset>
          </wp:positionH>
          <wp:positionV relativeFrom="paragraph">
            <wp:posOffset>0</wp:posOffset>
          </wp:positionV>
          <wp:extent cx="7583170" cy="1230630"/>
          <wp:effectExtent l="19050" t="0" r="0" b="0"/>
          <wp:wrapNone/>
          <wp:docPr id="25" name="Image 25" descr="HAUT CIRCUL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AUT CIRCULAIRE"/>
                  <pic:cNvPicPr>
                    <a:picLocks noChangeAspect="1" noChangeArrowheads="1"/>
                  </pic:cNvPicPr>
                </pic:nvPicPr>
                <pic:blipFill>
                  <a:blip r:embed="rId2"/>
                  <a:srcRect/>
                  <a:stretch>
                    <a:fillRect/>
                  </a:stretch>
                </pic:blipFill>
                <pic:spPr bwMode="auto">
                  <a:xfrm>
                    <a:off x="0" y="0"/>
                    <a:ext cx="7583170" cy="1230630"/>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A51026" w:rsidP="00A511DE">
    <w:pPr>
      <w:pStyle w:val="En-tte"/>
      <w:ind w:left="-1418" w:hanging="1417"/>
    </w:pPr>
    <w:r>
      <w:rPr>
        <w:noProof/>
      </w:rPr>
      <w:drawing>
        <wp:anchor distT="0" distB="0" distL="114300" distR="114300" simplePos="0" relativeHeight="251657728" behindDoc="1" locked="0" layoutInCell="1" allowOverlap="1">
          <wp:simplePos x="0" y="0"/>
          <wp:positionH relativeFrom="column">
            <wp:posOffset>-1823720</wp:posOffset>
          </wp:positionH>
          <wp:positionV relativeFrom="paragraph">
            <wp:posOffset>5284470</wp:posOffset>
          </wp:positionV>
          <wp:extent cx="7588250" cy="5415280"/>
          <wp:effectExtent l="19050" t="0" r="0" b="0"/>
          <wp:wrapNone/>
          <wp:docPr id="37" name="Image 37" descr="bas circul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as circulaire"/>
                  <pic:cNvPicPr>
                    <a:picLocks noChangeAspect="1" noChangeArrowheads="1"/>
                  </pic:cNvPicPr>
                </pic:nvPicPr>
                <pic:blipFill>
                  <a:blip r:embed="rId1"/>
                  <a:srcRect/>
                  <a:stretch>
                    <a:fillRect/>
                  </a:stretch>
                </pic:blipFill>
                <pic:spPr bwMode="auto">
                  <a:xfrm>
                    <a:off x="0" y="0"/>
                    <a:ext cx="7588250" cy="5415280"/>
                  </a:xfrm>
                  <a:prstGeom prst="rect">
                    <a:avLst/>
                  </a:prstGeom>
                  <a:noFill/>
                  <a:ln w="9525">
                    <a:noFill/>
                    <a:miter lim="800000"/>
                    <a:headEnd/>
                    <a:tailEnd/>
                  </a:ln>
                </pic:spPr>
              </pic:pic>
            </a:graphicData>
          </a:graphic>
        </wp:anchor>
      </w:drawing>
    </w:r>
    <w:r w:rsidR="00A511DE">
      <w:rPr>
        <w:noProof/>
      </w:rPr>
      <w:pict>
        <v:line id="_x0000_s2074" style="position:absolute;left:0;text-align:left;z-index:251655680;mso-position-horizontal-relative:text;mso-position-vertical-relative:text" from="-17.45pt,.8pt" to="-17.45pt,737.8pt" strokecolor="#de6422" strokeweight=".5pt"/>
      </w:pict>
    </w:r>
    <w:r>
      <w:rPr>
        <w:noProof/>
      </w:rPr>
      <w:drawing>
        <wp:inline distT="0" distB="0" distL="0" distR="0">
          <wp:extent cx="7588250" cy="1231900"/>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7588250" cy="1231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3381D"/>
    <w:multiLevelType w:val="hybridMultilevel"/>
    <w:tmpl w:val="1B26C0F0"/>
    <w:lvl w:ilvl="0" w:tplc="05588080">
      <w:numFmt w:val="bullet"/>
      <w:lvlText w:val="-"/>
      <w:lvlJc w:val="left"/>
      <w:pPr>
        <w:ind w:left="720" w:hanging="360"/>
      </w:pPr>
      <w:rPr>
        <w:rFonts w:ascii="Calibri" w:eastAsia="Calibri" w:hAnsi="Calibri"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90252A8"/>
    <w:multiLevelType w:val="hybridMultilevel"/>
    <w:tmpl w:val="1CA2C490"/>
    <w:lvl w:ilvl="0" w:tplc="27E604B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E4810C9"/>
    <w:multiLevelType w:val="hybridMultilevel"/>
    <w:tmpl w:val="EBF0F758"/>
    <w:lvl w:ilvl="0" w:tplc="F73EA8E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0D4396B"/>
    <w:multiLevelType w:val="hybridMultilevel"/>
    <w:tmpl w:val="DF3A5496"/>
    <w:lvl w:ilvl="0" w:tplc="D116BBF6">
      <w:numFmt w:val="bullet"/>
      <w:lvlText w:val="-"/>
      <w:lvlJc w:val="left"/>
      <w:pPr>
        <w:tabs>
          <w:tab w:val="num" w:pos="720"/>
        </w:tabs>
        <w:ind w:left="720" w:hanging="360"/>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391670F"/>
    <w:multiLevelType w:val="hybridMultilevel"/>
    <w:tmpl w:val="AD784E4E"/>
    <w:lvl w:ilvl="0" w:tplc="66CAAF5A">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48C7863"/>
    <w:multiLevelType w:val="hybridMultilevel"/>
    <w:tmpl w:val="D0C8122E"/>
    <w:lvl w:ilvl="0" w:tplc="7450C1C0">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3B76778"/>
    <w:multiLevelType w:val="hybridMultilevel"/>
    <w:tmpl w:val="CE541140"/>
    <w:lvl w:ilvl="0" w:tplc="9C30894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CCC46EA"/>
    <w:multiLevelType w:val="hybridMultilevel"/>
    <w:tmpl w:val="79681C30"/>
    <w:lvl w:ilvl="0" w:tplc="DD7467E0">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nsid w:val="2EC579DF"/>
    <w:multiLevelType w:val="multilevel"/>
    <w:tmpl w:val="E4F63E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nsid w:val="34E31A78"/>
    <w:multiLevelType w:val="hybridMultilevel"/>
    <w:tmpl w:val="BE5E9C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C165EC3"/>
    <w:multiLevelType w:val="hybridMultilevel"/>
    <w:tmpl w:val="C92AC54E"/>
    <w:lvl w:ilvl="0" w:tplc="59E63564">
      <w:numFmt w:val="bullet"/>
      <w:lvlText w:val="-"/>
      <w:lvlJc w:val="left"/>
      <w:pPr>
        <w:ind w:left="1068" w:hanging="360"/>
      </w:pPr>
      <w:rPr>
        <w:rFonts w:ascii="Calibri" w:eastAsia="Calibri" w:hAnsi="Calibri"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nsid w:val="3FCF214B"/>
    <w:multiLevelType w:val="hybridMultilevel"/>
    <w:tmpl w:val="51DA91FE"/>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nsid w:val="45DB2B02"/>
    <w:multiLevelType w:val="hybridMultilevel"/>
    <w:tmpl w:val="4F3E895C"/>
    <w:lvl w:ilvl="0" w:tplc="D116BBF6">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5FC0E78"/>
    <w:multiLevelType w:val="hybridMultilevel"/>
    <w:tmpl w:val="1E68EABE"/>
    <w:lvl w:ilvl="0" w:tplc="76647104">
      <w:numFmt w:val="bullet"/>
      <w:lvlText w:val="-"/>
      <w:lvlJc w:val="left"/>
      <w:pPr>
        <w:ind w:left="720" w:hanging="360"/>
      </w:pPr>
      <w:rPr>
        <w:rFonts w:ascii="Calibri" w:eastAsia="Calibri" w:hAnsi="Calibri"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94A51DD"/>
    <w:multiLevelType w:val="hybridMultilevel"/>
    <w:tmpl w:val="1358683C"/>
    <w:lvl w:ilvl="0" w:tplc="BE60DFF4">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5">
    <w:nsid w:val="544E711A"/>
    <w:multiLevelType w:val="hybridMultilevel"/>
    <w:tmpl w:val="4AEA759C"/>
    <w:lvl w:ilvl="0" w:tplc="54966EE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27B5948"/>
    <w:multiLevelType w:val="hybridMultilevel"/>
    <w:tmpl w:val="FE54636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63243412"/>
    <w:multiLevelType w:val="hybridMultilevel"/>
    <w:tmpl w:val="34ECB5D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nsid w:val="68DA4AC5"/>
    <w:multiLevelType w:val="hybridMultilevel"/>
    <w:tmpl w:val="C166E81C"/>
    <w:lvl w:ilvl="0" w:tplc="5484C70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B892DB9"/>
    <w:multiLevelType w:val="hybridMultilevel"/>
    <w:tmpl w:val="480C43E8"/>
    <w:lvl w:ilvl="0" w:tplc="E93ADDB6">
      <w:start w:val="1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0AF4851"/>
    <w:multiLevelType w:val="hybridMultilevel"/>
    <w:tmpl w:val="184C87DA"/>
    <w:lvl w:ilvl="0" w:tplc="E7E4A7B4">
      <w:start w:val="15"/>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2"/>
  </w:num>
  <w:num w:numId="4">
    <w:abstractNumId w:val="8"/>
  </w:num>
  <w:num w:numId="5">
    <w:abstractNumId w:val="20"/>
  </w:num>
  <w:num w:numId="6">
    <w:abstractNumId w:val="19"/>
  </w:num>
  <w:num w:numId="7">
    <w:abstractNumId w:val="17"/>
  </w:num>
  <w:num w:numId="8">
    <w:abstractNumId w:val="11"/>
  </w:num>
  <w:num w:numId="9">
    <w:abstractNumId w:val="9"/>
  </w:num>
  <w:num w:numId="10">
    <w:abstractNumId w:val="15"/>
  </w:num>
  <w:num w:numId="11">
    <w:abstractNumId w:val="0"/>
  </w:num>
  <w:num w:numId="12">
    <w:abstractNumId w:val="13"/>
  </w:num>
  <w:num w:numId="13">
    <w:abstractNumId w:val="2"/>
  </w:num>
  <w:num w:numId="14">
    <w:abstractNumId w:val="6"/>
  </w:num>
  <w:num w:numId="15">
    <w:abstractNumId w:val="10"/>
  </w:num>
  <w:num w:numId="16">
    <w:abstractNumId w:val="16"/>
  </w:num>
  <w:num w:numId="17">
    <w:abstractNumId w:val="1"/>
  </w:num>
  <w:num w:numId="18">
    <w:abstractNumId w:val="7"/>
  </w:num>
  <w:num w:numId="19">
    <w:abstractNumId w:val="18"/>
  </w:num>
  <w:num w:numId="20">
    <w:abstractNumId w:val="4"/>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colormru v:ext="edit" colors="#de6422,#6b196a"/>
    </o:shapedefaults>
    <o:shapelayout v:ext="edit">
      <o:idmap v:ext="edit" data="2"/>
    </o:shapelayout>
  </w:hdrShapeDefaults>
  <w:footnotePr>
    <w:footnote w:id="-1"/>
    <w:footnote w:id="0"/>
  </w:footnotePr>
  <w:endnotePr>
    <w:endnote w:id="-1"/>
    <w:endnote w:id="0"/>
  </w:endnotePr>
  <w:compat/>
  <w:rsids>
    <w:rsidRoot w:val="006C269F"/>
    <w:rsid w:val="00006470"/>
    <w:rsid w:val="000269E3"/>
    <w:rsid w:val="00051FA0"/>
    <w:rsid w:val="000B3A20"/>
    <w:rsid w:val="000B750F"/>
    <w:rsid w:val="000C2154"/>
    <w:rsid w:val="000C254C"/>
    <w:rsid w:val="000F1234"/>
    <w:rsid w:val="000F2CA9"/>
    <w:rsid w:val="0011229A"/>
    <w:rsid w:val="00154697"/>
    <w:rsid w:val="001569D9"/>
    <w:rsid w:val="00161F7C"/>
    <w:rsid w:val="00162B6C"/>
    <w:rsid w:val="00181386"/>
    <w:rsid w:val="001B6874"/>
    <w:rsid w:val="001C1D11"/>
    <w:rsid w:val="0020349D"/>
    <w:rsid w:val="002241CE"/>
    <w:rsid w:val="002445A5"/>
    <w:rsid w:val="00251082"/>
    <w:rsid w:val="00272A54"/>
    <w:rsid w:val="002826D2"/>
    <w:rsid w:val="002F679C"/>
    <w:rsid w:val="0031614D"/>
    <w:rsid w:val="00316B48"/>
    <w:rsid w:val="00320299"/>
    <w:rsid w:val="00332F50"/>
    <w:rsid w:val="003618C0"/>
    <w:rsid w:val="00373623"/>
    <w:rsid w:val="003956DC"/>
    <w:rsid w:val="003B2A28"/>
    <w:rsid w:val="003B6B98"/>
    <w:rsid w:val="003B78CD"/>
    <w:rsid w:val="003F101D"/>
    <w:rsid w:val="003F1767"/>
    <w:rsid w:val="00413FA1"/>
    <w:rsid w:val="00462C47"/>
    <w:rsid w:val="00471F84"/>
    <w:rsid w:val="00477F7F"/>
    <w:rsid w:val="004A2A20"/>
    <w:rsid w:val="004C0919"/>
    <w:rsid w:val="004D2043"/>
    <w:rsid w:val="00521463"/>
    <w:rsid w:val="005238D2"/>
    <w:rsid w:val="00540289"/>
    <w:rsid w:val="00555257"/>
    <w:rsid w:val="005A438D"/>
    <w:rsid w:val="005A4A68"/>
    <w:rsid w:val="005A7526"/>
    <w:rsid w:val="005B5DE2"/>
    <w:rsid w:val="005D2720"/>
    <w:rsid w:val="006153E9"/>
    <w:rsid w:val="006377DD"/>
    <w:rsid w:val="00685118"/>
    <w:rsid w:val="00695B49"/>
    <w:rsid w:val="006A601E"/>
    <w:rsid w:val="006B4CB3"/>
    <w:rsid w:val="006C214B"/>
    <w:rsid w:val="006D678A"/>
    <w:rsid w:val="006F5CAD"/>
    <w:rsid w:val="006F6800"/>
    <w:rsid w:val="006F7B41"/>
    <w:rsid w:val="007103B5"/>
    <w:rsid w:val="007262FB"/>
    <w:rsid w:val="00734DC9"/>
    <w:rsid w:val="00764EEF"/>
    <w:rsid w:val="007665CA"/>
    <w:rsid w:val="0078374F"/>
    <w:rsid w:val="007B27FE"/>
    <w:rsid w:val="007B4600"/>
    <w:rsid w:val="007B5C62"/>
    <w:rsid w:val="007D0918"/>
    <w:rsid w:val="007E7D2D"/>
    <w:rsid w:val="008179F5"/>
    <w:rsid w:val="008272EA"/>
    <w:rsid w:val="00833764"/>
    <w:rsid w:val="00851803"/>
    <w:rsid w:val="008646CF"/>
    <w:rsid w:val="0087383D"/>
    <w:rsid w:val="00883038"/>
    <w:rsid w:val="008845AB"/>
    <w:rsid w:val="008B7144"/>
    <w:rsid w:val="008C4DBD"/>
    <w:rsid w:val="008D3C66"/>
    <w:rsid w:val="008D3D1E"/>
    <w:rsid w:val="008F6C06"/>
    <w:rsid w:val="00915039"/>
    <w:rsid w:val="00922E2D"/>
    <w:rsid w:val="009438B3"/>
    <w:rsid w:val="00976A4F"/>
    <w:rsid w:val="00977A91"/>
    <w:rsid w:val="009862A1"/>
    <w:rsid w:val="00A01390"/>
    <w:rsid w:val="00A317B9"/>
    <w:rsid w:val="00A34430"/>
    <w:rsid w:val="00A37AE4"/>
    <w:rsid w:val="00A51026"/>
    <w:rsid w:val="00A511DE"/>
    <w:rsid w:val="00A53031"/>
    <w:rsid w:val="00A61F51"/>
    <w:rsid w:val="00A732B2"/>
    <w:rsid w:val="00A75ECA"/>
    <w:rsid w:val="00AA44F1"/>
    <w:rsid w:val="00AC2D93"/>
    <w:rsid w:val="00AE3075"/>
    <w:rsid w:val="00B036AE"/>
    <w:rsid w:val="00B06705"/>
    <w:rsid w:val="00B06DFD"/>
    <w:rsid w:val="00B74E50"/>
    <w:rsid w:val="00B91F23"/>
    <w:rsid w:val="00BB4432"/>
    <w:rsid w:val="00BE3E58"/>
    <w:rsid w:val="00C1383F"/>
    <w:rsid w:val="00C17069"/>
    <w:rsid w:val="00C20FD6"/>
    <w:rsid w:val="00C22742"/>
    <w:rsid w:val="00C35320"/>
    <w:rsid w:val="00C61936"/>
    <w:rsid w:val="00C9271E"/>
    <w:rsid w:val="00CA7864"/>
    <w:rsid w:val="00CC7BE9"/>
    <w:rsid w:val="00CD02F4"/>
    <w:rsid w:val="00CE6F93"/>
    <w:rsid w:val="00CF07F4"/>
    <w:rsid w:val="00D02416"/>
    <w:rsid w:val="00D05218"/>
    <w:rsid w:val="00D636D0"/>
    <w:rsid w:val="00D77EE8"/>
    <w:rsid w:val="00DB3FBE"/>
    <w:rsid w:val="00DD0636"/>
    <w:rsid w:val="00DE33F3"/>
    <w:rsid w:val="00DE5C17"/>
    <w:rsid w:val="00E03BBF"/>
    <w:rsid w:val="00E24A02"/>
    <w:rsid w:val="00E325F1"/>
    <w:rsid w:val="00E623D1"/>
    <w:rsid w:val="00E630B6"/>
    <w:rsid w:val="00E806E2"/>
    <w:rsid w:val="00E91F77"/>
    <w:rsid w:val="00E9247F"/>
    <w:rsid w:val="00EE3DC1"/>
    <w:rsid w:val="00EF41D8"/>
    <w:rsid w:val="00F016B9"/>
    <w:rsid w:val="00F02D45"/>
    <w:rsid w:val="00F04E8A"/>
    <w:rsid w:val="00F65E99"/>
    <w:rsid w:val="00F70D08"/>
    <w:rsid w:val="00F833C0"/>
    <w:rsid w:val="00FD0EAB"/>
    <w:rsid w:val="00FD5EE7"/>
    <w:rsid w:val="00FD6C2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de6422,#6b196a"/>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742"/>
    <w:rPr>
      <w:sz w:val="24"/>
      <w:szCs w:val="24"/>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paragraph" w:styleId="En-tte">
    <w:name w:val="header"/>
    <w:basedOn w:val="Normal"/>
    <w:rsid w:val="00CC0D2A"/>
    <w:pPr>
      <w:tabs>
        <w:tab w:val="center" w:pos="4536"/>
        <w:tab w:val="right" w:pos="9072"/>
      </w:tabs>
    </w:pPr>
  </w:style>
  <w:style w:type="paragraph" w:styleId="Pieddepage">
    <w:name w:val="footer"/>
    <w:basedOn w:val="Normal"/>
    <w:semiHidden/>
    <w:rsid w:val="00CC0D2A"/>
    <w:pPr>
      <w:tabs>
        <w:tab w:val="center" w:pos="4536"/>
        <w:tab w:val="right" w:pos="9072"/>
      </w:tabs>
    </w:pPr>
  </w:style>
  <w:style w:type="character" w:styleId="Lienhypertexte">
    <w:name w:val="Hyperlink"/>
    <w:rsid w:val="00AA1528"/>
    <w:rPr>
      <w:color w:val="0000FF"/>
      <w:u w:val="single"/>
    </w:rPr>
  </w:style>
  <w:style w:type="character" w:styleId="Lienhypertextesuivivisit">
    <w:name w:val="FollowedHyperlink"/>
    <w:rsid w:val="00AA1528"/>
    <w:rPr>
      <w:color w:val="800080"/>
      <w:u w:val="single"/>
    </w:rPr>
  </w:style>
  <w:style w:type="paragraph" w:styleId="Notedebasdepage">
    <w:name w:val="footnote text"/>
    <w:basedOn w:val="Normal"/>
    <w:link w:val="NotedebasdepageCar"/>
    <w:rsid w:val="00A61F51"/>
    <w:rPr>
      <w:sz w:val="20"/>
      <w:szCs w:val="20"/>
    </w:rPr>
  </w:style>
  <w:style w:type="character" w:customStyle="1" w:styleId="NotedebasdepageCar">
    <w:name w:val="Note de bas de page Car"/>
    <w:basedOn w:val="Policepardfaut"/>
    <w:link w:val="Notedebasdepage"/>
    <w:rsid w:val="00A61F51"/>
  </w:style>
  <w:style w:type="character" w:styleId="Appelnotedebasdep">
    <w:name w:val="footnote reference"/>
    <w:rsid w:val="00A61F51"/>
    <w:rPr>
      <w:vertAlign w:val="superscript"/>
    </w:rPr>
  </w:style>
  <w:style w:type="table" w:styleId="Grilledutableau">
    <w:name w:val="Table Grid"/>
    <w:basedOn w:val="TableauNormal"/>
    <w:uiPriority w:val="59"/>
    <w:rsid w:val="00AE30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brut">
    <w:name w:val="Plain Text"/>
    <w:basedOn w:val="Normal"/>
    <w:link w:val="TextebrutCar"/>
    <w:uiPriority w:val="99"/>
    <w:unhideWhenUsed/>
    <w:rsid w:val="00316B48"/>
    <w:rPr>
      <w:rFonts w:ascii="Calibri" w:hAnsi="Calibri"/>
      <w:sz w:val="22"/>
      <w:szCs w:val="21"/>
    </w:rPr>
  </w:style>
  <w:style w:type="character" w:customStyle="1" w:styleId="TextebrutCar">
    <w:name w:val="Texte brut Car"/>
    <w:link w:val="Textebrut"/>
    <w:uiPriority w:val="99"/>
    <w:rsid w:val="00316B48"/>
    <w:rPr>
      <w:rFonts w:ascii="Calibri" w:hAnsi="Calibri"/>
      <w:sz w:val="22"/>
      <w:szCs w:val="21"/>
    </w:rPr>
  </w:style>
  <w:style w:type="paragraph" w:styleId="Paragraphedeliste">
    <w:name w:val="List Paragraph"/>
    <w:basedOn w:val="Normal"/>
    <w:uiPriority w:val="34"/>
    <w:qFormat/>
    <w:rsid w:val="00C35320"/>
    <w:pPr>
      <w:ind w:left="708"/>
    </w:pPr>
  </w:style>
  <w:style w:type="paragraph" w:customStyle="1" w:styleId="Default">
    <w:name w:val="Default"/>
    <w:rsid w:val="006C214B"/>
    <w:pPr>
      <w:autoSpaceDE w:val="0"/>
      <w:autoSpaceDN w:val="0"/>
      <w:adjustRightInd w:val="0"/>
    </w:pPr>
    <w:rPr>
      <w:rFonts w:ascii="Arial" w:hAnsi="Arial" w:cs="Arial"/>
      <w:color w:val="000000"/>
      <w:sz w:val="24"/>
      <w:szCs w:val="24"/>
    </w:rPr>
  </w:style>
  <w:style w:type="paragraph" w:styleId="Textedebulles">
    <w:name w:val="Balloon Text"/>
    <w:basedOn w:val="Normal"/>
    <w:link w:val="TextedebullesCar"/>
    <w:uiPriority w:val="99"/>
    <w:semiHidden/>
    <w:unhideWhenUsed/>
    <w:rsid w:val="00F016B9"/>
    <w:rPr>
      <w:rFonts w:ascii="Tahoma" w:hAnsi="Tahoma" w:cs="Tahoma"/>
      <w:sz w:val="16"/>
      <w:szCs w:val="16"/>
    </w:rPr>
  </w:style>
  <w:style w:type="character" w:customStyle="1" w:styleId="TextedebullesCar">
    <w:name w:val="Texte de bulles Car"/>
    <w:link w:val="Textedebulles"/>
    <w:uiPriority w:val="99"/>
    <w:semiHidden/>
    <w:rsid w:val="00F016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5419543">
      <w:bodyDiv w:val="1"/>
      <w:marLeft w:val="0"/>
      <w:marRight w:val="0"/>
      <w:marTop w:val="0"/>
      <w:marBottom w:val="0"/>
      <w:divBdr>
        <w:top w:val="none" w:sz="0" w:space="0" w:color="auto"/>
        <w:left w:val="none" w:sz="0" w:space="0" w:color="auto"/>
        <w:bottom w:val="none" w:sz="0" w:space="0" w:color="auto"/>
        <w:right w:val="none" w:sz="0" w:space="0" w:color="auto"/>
      </w:divBdr>
    </w:div>
    <w:div w:id="530532999">
      <w:bodyDiv w:val="1"/>
      <w:marLeft w:val="0"/>
      <w:marRight w:val="0"/>
      <w:marTop w:val="0"/>
      <w:marBottom w:val="0"/>
      <w:divBdr>
        <w:top w:val="none" w:sz="0" w:space="0" w:color="auto"/>
        <w:left w:val="none" w:sz="0" w:space="0" w:color="auto"/>
        <w:bottom w:val="none" w:sz="0" w:space="0" w:color="auto"/>
        <w:right w:val="none" w:sz="0" w:space="0" w:color="auto"/>
      </w:divBdr>
    </w:div>
    <w:div w:id="546185924">
      <w:bodyDiv w:val="1"/>
      <w:marLeft w:val="0"/>
      <w:marRight w:val="0"/>
      <w:marTop w:val="0"/>
      <w:marBottom w:val="0"/>
      <w:divBdr>
        <w:top w:val="none" w:sz="0" w:space="0" w:color="auto"/>
        <w:left w:val="none" w:sz="0" w:space="0" w:color="auto"/>
        <w:bottom w:val="none" w:sz="0" w:space="0" w:color="auto"/>
        <w:right w:val="none" w:sz="0" w:space="0" w:color="auto"/>
      </w:divBdr>
    </w:div>
    <w:div w:id="582908351">
      <w:bodyDiv w:val="1"/>
      <w:marLeft w:val="0"/>
      <w:marRight w:val="0"/>
      <w:marTop w:val="0"/>
      <w:marBottom w:val="0"/>
      <w:divBdr>
        <w:top w:val="none" w:sz="0" w:space="0" w:color="auto"/>
        <w:left w:val="none" w:sz="0" w:space="0" w:color="auto"/>
        <w:bottom w:val="none" w:sz="0" w:space="0" w:color="auto"/>
        <w:right w:val="none" w:sz="0" w:space="0" w:color="auto"/>
      </w:divBdr>
    </w:div>
    <w:div w:id="205423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923A4-F3B8-4D05-8746-0FCB3F4F0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2585</Words>
  <Characters>14222</Characters>
  <Application>Microsoft Office Word</Application>
  <DocSecurity>4</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16774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CCVF</dc:creator>
  <cp:lastModifiedBy>user</cp:lastModifiedBy>
  <cp:revision>2</cp:revision>
  <cp:lastPrinted>2013-07-29T07:58:00Z</cp:lastPrinted>
  <dcterms:created xsi:type="dcterms:W3CDTF">2015-02-24T16:41:00Z</dcterms:created>
  <dcterms:modified xsi:type="dcterms:W3CDTF">2015-02-24T16:41:00Z</dcterms:modified>
</cp:coreProperties>
</file>